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950B" w14:textId="41F38C01" w:rsidR="00BC5B6D" w:rsidRDefault="00BC5B6D"/>
    <w:p w14:paraId="374EE75E" w14:textId="77777777" w:rsidR="00BC5B6D" w:rsidRDefault="00BC5B6D"/>
    <w:tbl>
      <w:tblPr>
        <w:tblW w:w="0" w:type="auto"/>
        <w:tblInd w:w="108" w:type="dxa"/>
        <w:tblLayout w:type="fixed"/>
        <w:tblLook w:val="04A0" w:firstRow="1" w:lastRow="0" w:firstColumn="1" w:lastColumn="0" w:noHBand="0" w:noVBand="1"/>
      </w:tblPr>
      <w:tblGrid>
        <w:gridCol w:w="10"/>
        <w:gridCol w:w="2428"/>
        <w:gridCol w:w="10"/>
        <w:gridCol w:w="6396"/>
        <w:gridCol w:w="11"/>
      </w:tblGrid>
      <w:tr w:rsidR="009C0B56" w:rsidRPr="00FF45C5" w14:paraId="6A64B98B" w14:textId="77777777" w:rsidTr="676A819F">
        <w:trPr>
          <w:gridAfter w:val="1"/>
          <w:wAfter w:w="11" w:type="dxa"/>
        </w:trPr>
        <w:tc>
          <w:tcPr>
            <w:tcW w:w="2438" w:type="dxa"/>
            <w:gridSpan w:val="2"/>
            <w:shd w:val="clear" w:color="auto" w:fill="auto"/>
          </w:tcPr>
          <w:p w14:paraId="1620D503" w14:textId="77777777" w:rsidR="009C0B56" w:rsidRPr="00FF45C5" w:rsidRDefault="009C0B56" w:rsidP="00C3467E">
            <w:pPr>
              <w:spacing w:after="120"/>
              <w:rPr>
                <w:rStyle w:val="Firstpagetablebold"/>
              </w:rPr>
            </w:pPr>
            <w:r w:rsidRPr="00FF45C5">
              <w:rPr>
                <w:rStyle w:val="Firstpagetablebold"/>
              </w:rPr>
              <w:t>To:</w:t>
            </w:r>
          </w:p>
        </w:tc>
        <w:tc>
          <w:tcPr>
            <w:tcW w:w="6406" w:type="dxa"/>
            <w:gridSpan w:val="2"/>
            <w:shd w:val="clear" w:color="auto" w:fill="auto"/>
          </w:tcPr>
          <w:p w14:paraId="0498864C" w14:textId="4B6A094F" w:rsidR="00BC5B6D" w:rsidRPr="00FF45C5" w:rsidRDefault="009C0B56" w:rsidP="00C3467E">
            <w:pPr>
              <w:spacing w:after="120"/>
              <w:rPr>
                <w:rStyle w:val="Firstpagetablebold"/>
              </w:rPr>
            </w:pPr>
            <w:r w:rsidRPr="00FF45C5">
              <w:rPr>
                <w:rStyle w:val="Firstpagetablebold"/>
              </w:rPr>
              <w:t>Cabinet</w:t>
            </w:r>
          </w:p>
        </w:tc>
      </w:tr>
      <w:tr w:rsidR="009C0B56" w:rsidRPr="00FF45C5" w14:paraId="215805CE" w14:textId="77777777" w:rsidTr="676A819F">
        <w:trPr>
          <w:gridAfter w:val="1"/>
          <w:wAfter w:w="11" w:type="dxa"/>
        </w:trPr>
        <w:tc>
          <w:tcPr>
            <w:tcW w:w="2438" w:type="dxa"/>
            <w:gridSpan w:val="2"/>
            <w:shd w:val="clear" w:color="auto" w:fill="auto"/>
          </w:tcPr>
          <w:p w14:paraId="352F0295" w14:textId="77777777" w:rsidR="009C0B56" w:rsidRPr="00FF45C5" w:rsidRDefault="009C0B56" w:rsidP="00C3467E">
            <w:pPr>
              <w:spacing w:after="120"/>
              <w:rPr>
                <w:rStyle w:val="Firstpagetablebold"/>
              </w:rPr>
            </w:pPr>
            <w:r w:rsidRPr="00FF45C5">
              <w:rPr>
                <w:rStyle w:val="Firstpagetablebold"/>
              </w:rPr>
              <w:t>Date:</w:t>
            </w:r>
          </w:p>
        </w:tc>
        <w:tc>
          <w:tcPr>
            <w:tcW w:w="6406" w:type="dxa"/>
            <w:gridSpan w:val="2"/>
            <w:shd w:val="clear" w:color="auto" w:fill="auto"/>
          </w:tcPr>
          <w:p w14:paraId="6782D5FC" w14:textId="3DF4075F" w:rsidR="00BC5B6D" w:rsidRPr="00FF45C5" w:rsidRDefault="009C0B56" w:rsidP="00C3467E">
            <w:pPr>
              <w:spacing w:after="120"/>
              <w:rPr>
                <w:b/>
              </w:rPr>
            </w:pPr>
            <w:r w:rsidRPr="00FF45C5">
              <w:rPr>
                <w:rStyle w:val="Firstpagetablebold"/>
              </w:rPr>
              <w:t>1</w:t>
            </w:r>
            <w:r w:rsidR="0048120E">
              <w:rPr>
                <w:rStyle w:val="Firstpagetablebold"/>
              </w:rPr>
              <w:t xml:space="preserve">3 September </w:t>
            </w:r>
            <w:r w:rsidRPr="00FF45C5">
              <w:rPr>
                <w:rStyle w:val="Firstpagetablebold"/>
              </w:rPr>
              <w:t>2023</w:t>
            </w:r>
          </w:p>
        </w:tc>
      </w:tr>
      <w:tr w:rsidR="009C0B56" w:rsidRPr="00FF45C5" w14:paraId="51BE8F9B" w14:textId="77777777" w:rsidTr="676A819F">
        <w:trPr>
          <w:gridAfter w:val="1"/>
          <w:wAfter w:w="11" w:type="dxa"/>
        </w:trPr>
        <w:tc>
          <w:tcPr>
            <w:tcW w:w="2438" w:type="dxa"/>
            <w:gridSpan w:val="2"/>
            <w:shd w:val="clear" w:color="auto" w:fill="auto"/>
          </w:tcPr>
          <w:p w14:paraId="48E380D5" w14:textId="77777777" w:rsidR="009C0B56" w:rsidRPr="00FF45C5" w:rsidRDefault="009C0B56" w:rsidP="00C3467E">
            <w:pPr>
              <w:spacing w:after="120"/>
              <w:rPr>
                <w:rStyle w:val="Firstpagetablebold"/>
              </w:rPr>
            </w:pPr>
            <w:r w:rsidRPr="00FF45C5">
              <w:rPr>
                <w:rStyle w:val="Firstpagetablebold"/>
              </w:rPr>
              <w:t>Report of:</w:t>
            </w:r>
          </w:p>
        </w:tc>
        <w:tc>
          <w:tcPr>
            <w:tcW w:w="6406" w:type="dxa"/>
            <w:gridSpan w:val="2"/>
            <w:shd w:val="clear" w:color="auto" w:fill="auto"/>
          </w:tcPr>
          <w:p w14:paraId="5AD252C7" w14:textId="4EB9AE1E" w:rsidR="00BC5B6D" w:rsidRPr="00FF45C5" w:rsidRDefault="0048120E" w:rsidP="00C3467E">
            <w:pPr>
              <w:spacing w:after="120"/>
              <w:rPr>
                <w:rStyle w:val="Firstpagetablebold"/>
              </w:rPr>
            </w:pPr>
            <w:r>
              <w:rPr>
                <w:rStyle w:val="Firstpagetablebold"/>
              </w:rPr>
              <w:t xml:space="preserve">Executive Director </w:t>
            </w:r>
            <w:r w:rsidR="00BC5B6D">
              <w:rPr>
                <w:rStyle w:val="Firstpagetablebold"/>
              </w:rPr>
              <w:t>(</w:t>
            </w:r>
            <w:r>
              <w:rPr>
                <w:rStyle w:val="Firstpagetablebold"/>
              </w:rPr>
              <w:t>Communities and People</w:t>
            </w:r>
            <w:r w:rsidR="00BC5B6D">
              <w:rPr>
                <w:rStyle w:val="Firstpagetablebold"/>
              </w:rPr>
              <w:t>)</w:t>
            </w:r>
          </w:p>
        </w:tc>
      </w:tr>
      <w:tr w:rsidR="009C0B56" w:rsidRPr="00FF45C5" w14:paraId="513877EA" w14:textId="77777777" w:rsidTr="676A819F">
        <w:trPr>
          <w:gridAfter w:val="1"/>
          <w:wAfter w:w="11" w:type="dxa"/>
        </w:trPr>
        <w:tc>
          <w:tcPr>
            <w:tcW w:w="2438" w:type="dxa"/>
            <w:gridSpan w:val="2"/>
            <w:shd w:val="clear" w:color="auto" w:fill="auto"/>
          </w:tcPr>
          <w:p w14:paraId="16981C0E" w14:textId="77777777" w:rsidR="009C0B56" w:rsidRPr="00FF45C5" w:rsidRDefault="009C0B56" w:rsidP="00C3467E">
            <w:pPr>
              <w:spacing w:after="120"/>
              <w:rPr>
                <w:rStyle w:val="Firstpagetablebold"/>
              </w:rPr>
            </w:pPr>
            <w:r w:rsidRPr="00FF45C5">
              <w:rPr>
                <w:rStyle w:val="Firstpagetablebold"/>
              </w:rPr>
              <w:t xml:space="preserve">Title of Report: </w:t>
            </w:r>
          </w:p>
        </w:tc>
        <w:tc>
          <w:tcPr>
            <w:tcW w:w="6406" w:type="dxa"/>
            <w:gridSpan w:val="2"/>
            <w:shd w:val="clear" w:color="auto" w:fill="auto"/>
          </w:tcPr>
          <w:p w14:paraId="64790A65" w14:textId="3D0E6D4A" w:rsidR="00E77977" w:rsidRPr="00FF45C5" w:rsidRDefault="00BC5B6D" w:rsidP="00C3467E">
            <w:pPr>
              <w:spacing w:after="120"/>
              <w:rPr>
                <w:rStyle w:val="Firstpagetablebold"/>
              </w:rPr>
            </w:pPr>
            <w:r>
              <w:rPr>
                <w:rStyle w:val="Firstpagetablebold"/>
              </w:rPr>
              <w:t>C</w:t>
            </w:r>
            <w:r w:rsidR="009C0B56" w:rsidRPr="00FF45C5">
              <w:rPr>
                <w:rStyle w:val="Firstpagetablebold"/>
              </w:rPr>
              <w:t xml:space="preserve">ontinuation of </w:t>
            </w:r>
            <w:r>
              <w:rPr>
                <w:rStyle w:val="Firstpagetablebold"/>
              </w:rPr>
              <w:t xml:space="preserve">the </w:t>
            </w:r>
            <w:r w:rsidR="009C0B56" w:rsidRPr="00FF45C5">
              <w:rPr>
                <w:rStyle w:val="Firstpagetablebold"/>
              </w:rPr>
              <w:t xml:space="preserve">Oxfordshire Out of Hospital Care </w:t>
            </w:r>
            <w:r w:rsidR="00FF45C5">
              <w:rPr>
                <w:rStyle w:val="Firstpagetablebold"/>
              </w:rPr>
              <w:t>Model</w:t>
            </w:r>
          </w:p>
          <w:p w14:paraId="12909F35" w14:textId="77777777" w:rsidR="00E77977" w:rsidRPr="00FF45C5" w:rsidRDefault="00E77977" w:rsidP="00C3467E">
            <w:pPr>
              <w:spacing w:after="120"/>
              <w:rPr>
                <w:rStyle w:val="Firstpagetablebold"/>
              </w:rPr>
            </w:pPr>
          </w:p>
        </w:tc>
      </w:tr>
      <w:tr w:rsidR="009C0B56" w:rsidRPr="00FF45C5" w14:paraId="56A16615" w14:textId="77777777" w:rsidTr="676A819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D75678F" w14:textId="552CA01D" w:rsidR="009C0B56" w:rsidRDefault="009C0B56" w:rsidP="005B403A">
            <w:pPr>
              <w:jc w:val="center"/>
              <w:rPr>
                <w:rStyle w:val="Firstpagetablebold"/>
              </w:rPr>
            </w:pPr>
            <w:r w:rsidRPr="00FF45C5">
              <w:rPr>
                <w:rStyle w:val="Firstpagetablebold"/>
              </w:rPr>
              <w:t>Summary and recommendations</w:t>
            </w:r>
          </w:p>
          <w:p w14:paraId="2C076482" w14:textId="77777777" w:rsidR="00BF5AB5" w:rsidRDefault="00BF5AB5" w:rsidP="005B403A">
            <w:pPr>
              <w:jc w:val="center"/>
              <w:rPr>
                <w:rStyle w:val="Firstpagetablebold"/>
              </w:rPr>
            </w:pPr>
          </w:p>
          <w:p w14:paraId="7E5D26AB" w14:textId="0013AA35" w:rsidR="00C3467E" w:rsidRPr="00FF45C5" w:rsidRDefault="00C3467E" w:rsidP="005B403A">
            <w:pPr>
              <w:jc w:val="center"/>
              <w:rPr>
                <w:rStyle w:val="Firstpagetablebold"/>
              </w:rPr>
            </w:pPr>
          </w:p>
        </w:tc>
      </w:tr>
      <w:tr w:rsidR="009C0B56" w:rsidRPr="00FF45C5" w14:paraId="7B6A2ECE" w14:textId="77777777" w:rsidTr="676A819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themeColor="text1"/>
              <w:left w:val="single" w:sz="8" w:space="0" w:color="000000" w:themeColor="text1"/>
              <w:bottom w:val="nil"/>
              <w:right w:val="nil"/>
            </w:tcBorders>
            <w:hideMark/>
          </w:tcPr>
          <w:p w14:paraId="08D60621" w14:textId="77777777" w:rsidR="009C0B56" w:rsidRPr="00FF45C5" w:rsidRDefault="009C0B56" w:rsidP="005B403A">
            <w:pPr>
              <w:rPr>
                <w:rStyle w:val="Firstpagetablebold"/>
              </w:rPr>
            </w:pPr>
            <w:r w:rsidRPr="00FF45C5">
              <w:rPr>
                <w:rStyle w:val="Firstpagetablebold"/>
              </w:rPr>
              <w:t>Purpose of report:</w:t>
            </w:r>
          </w:p>
        </w:tc>
        <w:tc>
          <w:tcPr>
            <w:tcW w:w="6407" w:type="dxa"/>
            <w:gridSpan w:val="2"/>
            <w:tcBorders>
              <w:top w:val="single" w:sz="8" w:space="0" w:color="000000" w:themeColor="text1"/>
              <w:left w:val="nil"/>
              <w:bottom w:val="nil"/>
              <w:right w:val="single" w:sz="8" w:space="0" w:color="000000" w:themeColor="text1"/>
            </w:tcBorders>
            <w:hideMark/>
          </w:tcPr>
          <w:p w14:paraId="78FBFB29" w14:textId="77777777" w:rsidR="00573111" w:rsidRDefault="00573111" w:rsidP="002D51FF">
            <w:r>
              <w:t>To seek</w:t>
            </w:r>
            <w:r w:rsidR="676A819F">
              <w:t xml:space="preserve"> authorisation to continue the Oxfordshire Out of Hospital Care Group through f</w:t>
            </w:r>
            <w:r w:rsidR="002D51FF">
              <w:t xml:space="preserve">inancing </w:t>
            </w:r>
            <w:r w:rsidR="676A819F">
              <w:t>secured from the Better Care Fund</w:t>
            </w:r>
            <w:r>
              <w:t>;</w:t>
            </w:r>
            <w:r w:rsidR="676A819F">
              <w:t xml:space="preserve"> and to seek delegated authority to award </w:t>
            </w:r>
            <w:r w:rsidR="002D51FF">
              <w:t xml:space="preserve">ongoing contracts (with annual break clauses) </w:t>
            </w:r>
            <w:r w:rsidR="676A819F">
              <w:t xml:space="preserve">for the provision of this service, </w:t>
            </w:r>
            <w:r>
              <w:t>subject to securing</w:t>
            </w:r>
            <w:r w:rsidR="002D51FF">
              <w:t xml:space="preserve"> the necessary financing.</w:t>
            </w:r>
          </w:p>
          <w:p w14:paraId="1D65DF27" w14:textId="05ADD61E" w:rsidR="009C0B56" w:rsidRDefault="002D51FF" w:rsidP="002D51FF">
            <w:r>
              <w:t xml:space="preserve"> </w:t>
            </w:r>
          </w:p>
          <w:p w14:paraId="15B5D2F1" w14:textId="6C12842F" w:rsidR="00C3467E" w:rsidRPr="00FF45C5" w:rsidRDefault="00C3467E" w:rsidP="002D51FF"/>
        </w:tc>
      </w:tr>
      <w:tr w:rsidR="009C0B56" w:rsidRPr="00FF45C5" w14:paraId="25DAB003" w14:textId="77777777" w:rsidTr="676A819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themeColor="text1"/>
              <w:bottom w:val="nil"/>
              <w:right w:val="nil"/>
            </w:tcBorders>
            <w:hideMark/>
          </w:tcPr>
          <w:p w14:paraId="33928B13" w14:textId="77777777" w:rsidR="009C0B56" w:rsidRPr="00FF45C5" w:rsidRDefault="009C0B56" w:rsidP="005B403A">
            <w:pPr>
              <w:rPr>
                <w:rStyle w:val="Firstpagetablebold"/>
              </w:rPr>
            </w:pPr>
            <w:r w:rsidRPr="00FF45C5">
              <w:rPr>
                <w:rStyle w:val="Firstpagetablebold"/>
              </w:rPr>
              <w:t>Key decision:</w:t>
            </w:r>
          </w:p>
        </w:tc>
        <w:tc>
          <w:tcPr>
            <w:tcW w:w="6407" w:type="dxa"/>
            <w:gridSpan w:val="2"/>
            <w:tcBorders>
              <w:top w:val="nil"/>
              <w:left w:val="nil"/>
              <w:bottom w:val="nil"/>
              <w:right w:val="single" w:sz="8" w:space="0" w:color="000000" w:themeColor="text1"/>
            </w:tcBorders>
            <w:hideMark/>
          </w:tcPr>
          <w:p w14:paraId="60EEB5E6" w14:textId="75DF51EC" w:rsidR="009C0B56" w:rsidRDefault="009C0B56" w:rsidP="005B403A">
            <w:r w:rsidRPr="00FF45C5">
              <w:t>Yes</w:t>
            </w:r>
          </w:p>
          <w:p w14:paraId="1356B8A8" w14:textId="77777777" w:rsidR="00573111" w:rsidRDefault="00573111" w:rsidP="005B403A"/>
          <w:p w14:paraId="17EE23A8" w14:textId="682EA7F8" w:rsidR="00C3467E" w:rsidRPr="00FF45C5" w:rsidRDefault="00C3467E" w:rsidP="005B403A"/>
        </w:tc>
      </w:tr>
      <w:tr w:rsidR="009C0B56" w:rsidRPr="00FF45C5" w14:paraId="08703373" w14:textId="77777777" w:rsidTr="676A819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themeColor="text1"/>
              <w:bottom w:val="nil"/>
              <w:right w:val="nil"/>
            </w:tcBorders>
            <w:hideMark/>
          </w:tcPr>
          <w:p w14:paraId="519F1D9C" w14:textId="77777777" w:rsidR="009C0B56" w:rsidRPr="00FF45C5" w:rsidRDefault="009C0B56" w:rsidP="005B403A">
            <w:pPr>
              <w:rPr>
                <w:rStyle w:val="Firstpagetablebold"/>
              </w:rPr>
            </w:pPr>
            <w:r w:rsidRPr="00FF45C5">
              <w:rPr>
                <w:rStyle w:val="Firstpagetablebold"/>
              </w:rPr>
              <w:t>Cabinet Member:</w:t>
            </w:r>
          </w:p>
        </w:tc>
        <w:tc>
          <w:tcPr>
            <w:tcW w:w="6407" w:type="dxa"/>
            <w:gridSpan w:val="2"/>
            <w:tcBorders>
              <w:top w:val="nil"/>
              <w:left w:val="nil"/>
              <w:bottom w:val="nil"/>
              <w:right w:val="single" w:sz="8" w:space="0" w:color="000000" w:themeColor="text1"/>
            </w:tcBorders>
            <w:hideMark/>
          </w:tcPr>
          <w:p w14:paraId="611056F2" w14:textId="77777777" w:rsidR="009C0B56" w:rsidRDefault="009C0B56" w:rsidP="005B403A">
            <w:r w:rsidRPr="00FF45C5">
              <w:t>Councillor Linda Smith, Cabinet member for Housing</w:t>
            </w:r>
          </w:p>
          <w:p w14:paraId="603FBE30" w14:textId="4C0E70F5" w:rsidR="00067895" w:rsidRPr="00FF45C5" w:rsidRDefault="00067895" w:rsidP="005B403A"/>
        </w:tc>
      </w:tr>
      <w:tr w:rsidR="009C0B56" w:rsidRPr="00FF45C5" w14:paraId="7F50E672" w14:textId="77777777" w:rsidTr="00BF5A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themeColor="text1"/>
              <w:bottom w:val="nil"/>
              <w:right w:val="nil"/>
            </w:tcBorders>
          </w:tcPr>
          <w:p w14:paraId="5372677E" w14:textId="77777777" w:rsidR="009C0B56" w:rsidRPr="00FF45C5" w:rsidRDefault="009C0B56" w:rsidP="005B403A">
            <w:pPr>
              <w:rPr>
                <w:rStyle w:val="Firstpagetablebold"/>
              </w:rPr>
            </w:pPr>
            <w:r w:rsidRPr="00FF45C5">
              <w:rPr>
                <w:rStyle w:val="Firstpagetablebold"/>
              </w:rPr>
              <w:t>Corporate Priority:</w:t>
            </w:r>
          </w:p>
        </w:tc>
        <w:tc>
          <w:tcPr>
            <w:tcW w:w="6407" w:type="dxa"/>
            <w:gridSpan w:val="2"/>
            <w:tcBorders>
              <w:top w:val="nil"/>
              <w:left w:val="nil"/>
              <w:bottom w:val="nil"/>
              <w:right w:val="single" w:sz="8" w:space="0" w:color="000000" w:themeColor="text1"/>
            </w:tcBorders>
          </w:tcPr>
          <w:p w14:paraId="6747D15B" w14:textId="77777777" w:rsidR="009C0B56" w:rsidRDefault="005F70A8" w:rsidP="005F70A8">
            <w:r w:rsidRPr="004F7FA7">
              <w:t>Support Thriving Communities</w:t>
            </w:r>
          </w:p>
          <w:p w14:paraId="66F926C3" w14:textId="40C52C78" w:rsidR="00C3467E" w:rsidRPr="00FF45C5" w:rsidRDefault="00C3467E" w:rsidP="005F70A8"/>
        </w:tc>
      </w:tr>
      <w:tr w:rsidR="009C0B56" w:rsidRPr="00FF45C5" w14:paraId="4528F00E" w14:textId="77777777" w:rsidTr="00BF5A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themeColor="text1"/>
              <w:bottom w:val="single" w:sz="8" w:space="0" w:color="000000" w:themeColor="text1"/>
              <w:right w:val="nil"/>
            </w:tcBorders>
            <w:hideMark/>
          </w:tcPr>
          <w:p w14:paraId="5DA59AEC" w14:textId="77777777" w:rsidR="009C0B56" w:rsidRPr="00FF45C5" w:rsidRDefault="009C0B56" w:rsidP="005B403A">
            <w:pPr>
              <w:rPr>
                <w:rStyle w:val="Firstpagetablebold"/>
              </w:rPr>
            </w:pPr>
            <w:r w:rsidRPr="00FF45C5">
              <w:rPr>
                <w:rStyle w:val="Firstpagetablebold"/>
              </w:rPr>
              <w:t>Policy Framework:</w:t>
            </w:r>
          </w:p>
        </w:tc>
        <w:tc>
          <w:tcPr>
            <w:tcW w:w="6407" w:type="dxa"/>
            <w:gridSpan w:val="2"/>
            <w:tcBorders>
              <w:top w:val="nil"/>
              <w:left w:val="nil"/>
              <w:bottom w:val="single" w:sz="8" w:space="0" w:color="000000" w:themeColor="text1"/>
              <w:right w:val="single" w:sz="8" w:space="0" w:color="000000" w:themeColor="text1"/>
            </w:tcBorders>
            <w:hideMark/>
          </w:tcPr>
          <w:p w14:paraId="35354526" w14:textId="77777777" w:rsidR="009C0B56" w:rsidRPr="00FF45C5" w:rsidRDefault="009C0B56" w:rsidP="005B403A">
            <w:r w:rsidRPr="00FF45C5">
              <w:t xml:space="preserve">Housing, Homelessness and Rough Sleeping Strategy </w:t>
            </w:r>
          </w:p>
          <w:p w14:paraId="16C305DD" w14:textId="13F1B431" w:rsidR="009C0B56" w:rsidRDefault="009C0B56" w:rsidP="005F70A8">
            <w:r w:rsidRPr="00FF45C5">
              <w:t xml:space="preserve">2023 – 2028 </w:t>
            </w:r>
          </w:p>
          <w:p w14:paraId="3A9A86A8" w14:textId="77777777" w:rsidR="00BF5AB5" w:rsidRDefault="00BF5AB5" w:rsidP="005F70A8"/>
          <w:p w14:paraId="57AA8E7B" w14:textId="00F6CA7E" w:rsidR="00573111" w:rsidRPr="00FF45C5" w:rsidRDefault="00573111" w:rsidP="005F70A8"/>
        </w:tc>
      </w:tr>
    </w:tbl>
    <w:p w14:paraId="4E8E2E17" w14:textId="77777777" w:rsidR="009C0B56" w:rsidRPr="00FF45C5" w:rsidRDefault="009C0B56" w:rsidP="009C0B56"/>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C0B56" w:rsidRPr="00FF45C5" w14:paraId="520593AA" w14:textId="77777777" w:rsidTr="001F5307">
        <w:trPr>
          <w:trHeight w:val="413"/>
        </w:trPr>
        <w:tc>
          <w:tcPr>
            <w:tcW w:w="8845" w:type="dxa"/>
            <w:gridSpan w:val="2"/>
            <w:tcBorders>
              <w:bottom w:val="single" w:sz="8" w:space="0" w:color="000000" w:themeColor="text1"/>
            </w:tcBorders>
          </w:tcPr>
          <w:p w14:paraId="3F8AFC80" w14:textId="6DF0A88B" w:rsidR="009C0B56" w:rsidRPr="00FF45C5" w:rsidRDefault="009C0B56" w:rsidP="005B403A">
            <w:r w:rsidRPr="00FF45C5">
              <w:rPr>
                <w:rStyle w:val="Firstpagetablebold"/>
              </w:rPr>
              <w:t>Recommendations:</w:t>
            </w:r>
            <w:r w:rsidR="00BF5AB5">
              <w:rPr>
                <w:rStyle w:val="Firstpagetablebold"/>
              </w:rPr>
              <w:t xml:space="preserve"> </w:t>
            </w:r>
            <w:r w:rsidRPr="00BF5AB5">
              <w:rPr>
                <w:rStyle w:val="Firstpagetablebold"/>
                <w:b w:val="0"/>
                <w:bCs/>
              </w:rPr>
              <w:t>That Cabinet resolves to:</w:t>
            </w:r>
          </w:p>
        </w:tc>
      </w:tr>
      <w:tr w:rsidR="009C0B56" w:rsidRPr="00FF45C5" w14:paraId="2496E4B0" w14:textId="77777777" w:rsidTr="001F5307">
        <w:trPr>
          <w:trHeight w:val="283"/>
        </w:trPr>
        <w:tc>
          <w:tcPr>
            <w:tcW w:w="426" w:type="dxa"/>
            <w:tcBorders>
              <w:top w:val="single" w:sz="8" w:space="0" w:color="000000" w:themeColor="text1"/>
              <w:left w:val="single" w:sz="8" w:space="0" w:color="000000" w:themeColor="text1"/>
              <w:bottom w:val="nil"/>
              <w:right w:val="nil"/>
            </w:tcBorders>
          </w:tcPr>
          <w:p w14:paraId="3AFEC071" w14:textId="77777777" w:rsidR="005F70A8" w:rsidRDefault="009C0B56" w:rsidP="005B403A">
            <w:r w:rsidRPr="00FF45C5">
              <w:t>1.</w:t>
            </w:r>
          </w:p>
          <w:p w14:paraId="5A29872A" w14:textId="77777777" w:rsidR="005F70A8" w:rsidRPr="005F70A8" w:rsidRDefault="005F70A8" w:rsidP="005F70A8"/>
          <w:p w14:paraId="0633477A" w14:textId="77777777" w:rsidR="005F70A8" w:rsidRPr="002A7DEF" w:rsidRDefault="005F70A8" w:rsidP="002A7DEF"/>
          <w:p w14:paraId="4421FD1B" w14:textId="77777777" w:rsidR="005F70A8" w:rsidRDefault="005F70A8" w:rsidP="005F70A8">
            <w:r>
              <w:t>2.</w:t>
            </w:r>
          </w:p>
          <w:p w14:paraId="66F7CCD9" w14:textId="77777777" w:rsidR="005F70A8" w:rsidRPr="005F70A8" w:rsidRDefault="005F70A8" w:rsidP="005F70A8"/>
          <w:p w14:paraId="4B7A8B14" w14:textId="77777777" w:rsidR="005F70A8" w:rsidRDefault="005F70A8" w:rsidP="005F70A8"/>
          <w:p w14:paraId="00B138C8" w14:textId="35164F32" w:rsidR="0048120E" w:rsidRDefault="0048120E" w:rsidP="005F70A8"/>
          <w:p w14:paraId="08DFD8BF" w14:textId="4B6F89E2" w:rsidR="0048120E" w:rsidRDefault="00BF5AB5" w:rsidP="005F70A8">
            <w:r>
              <w:t>3.</w:t>
            </w:r>
          </w:p>
          <w:p w14:paraId="10948ADF" w14:textId="77777777" w:rsidR="0048120E" w:rsidRDefault="0048120E" w:rsidP="005F70A8"/>
          <w:p w14:paraId="4CFBC119" w14:textId="77777777" w:rsidR="0048120E" w:rsidRDefault="0048120E" w:rsidP="005F70A8"/>
          <w:p w14:paraId="7BB6BAF8" w14:textId="77777777" w:rsidR="0048120E" w:rsidRDefault="0048120E" w:rsidP="005F70A8"/>
          <w:p w14:paraId="214EFF2D" w14:textId="77777777" w:rsidR="0048120E" w:rsidRDefault="0048120E" w:rsidP="005F70A8"/>
          <w:p w14:paraId="368E0275" w14:textId="77777777" w:rsidR="0048120E" w:rsidRDefault="0048120E" w:rsidP="005F70A8"/>
          <w:p w14:paraId="37366DD6" w14:textId="71891ACD" w:rsidR="005F70A8" w:rsidRPr="005F70A8" w:rsidRDefault="0048120E" w:rsidP="005F70A8">
            <w:r>
              <w:t xml:space="preserve"> </w:t>
            </w:r>
            <w:r w:rsidR="005F70A8">
              <w:t xml:space="preserve"> </w:t>
            </w:r>
          </w:p>
        </w:tc>
        <w:tc>
          <w:tcPr>
            <w:tcW w:w="8419" w:type="dxa"/>
            <w:tcBorders>
              <w:top w:val="single" w:sz="8" w:space="0" w:color="000000" w:themeColor="text1"/>
              <w:left w:val="nil"/>
              <w:bottom w:val="nil"/>
              <w:right w:val="single" w:sz="8" w:space="0" w:color="000000" w:themeColor="text1"/>
            </w:tcBorders>
            <w:shd w:val="clear" w:color="auto" w:fill="auto"/>
          </w:tcPr>
          <w:p w14:paraId="722AFFF6" w14:textId="6771909C" w:rsidR="0048120E" w:rsidRDefault="009C0B56" w:rsidP="0048120E">
            <w:pPr>
              <w:rPr>
                <w:rStyle w:val="Firstpagetablebold"/>
                <w:b w:val="0"/>
              </w:rPr>
            </w:pPr>
            <w:r w:rsidRPr="00FF45C5">
              <w:rPr>
                <w:rStyle w:val="Firstpagetablebold"/>
              </w:rPr>
              <w:t xml:space="preserve">Approve </w:t>
            </w:r>
            <w:r w:rsidR="00BF5AB5" w:rsidRPr="00BF5AB5">
              <w:rPr>
                <w:rStyle w:val="Firstpagetablebold"/>
                <w:b w:val="0"/>
                <w:bCs/>
              </w:rPr>
              <w:t>continuation of</w:t>
            </w:r>
            <w:r w:rsidRPr="00FF45C5">
              <w:rPr>
                <w:rStyle w:val="Firstpagetablebold"/>
                <w:b w:val="0"/>
              </w:rPr>
              <w:t xml:space="preserve"> the Oxfordshire Out </w:t>
            </w:r>
            <w:r w:rsidRPr="002D51FF">
              <w:rPr>
                <w:rStyle w:val="Firstpagetablebold"/>
                <w:b w:val="0"/>
              </w:rPr>
              <w:t xml:space="preserve">of Hospital Care </w:t>
            </w:r>
            <w:r w:rsidR="00F20512" w:rsidRPr="002D51FF">
              <w:rPr>
                <w:rStyle w:val="Firstpagetablebold"/>
                <w:b w:val="0"/>
              </w:rPr>
              <w:t>Model</w:t>
            </w:r>
            <w:r w:rsidR="00FA0F89">
              <w:rPr>
                <w:rStyle w:val="Firstpagetablebold"/>
                <w:b w:val="0"/>
              </w:rPr>
              <w:t xml:space="preserve"> (OOHCM)</w:t>
            </w:r>
            <w:r w:rsidRPr="002D51FF">
              <w:rPr>
                <w:rStyle w:val="Firstpagetablebold"/>
                <w:b w:val="0"/>
              </w:rPr>
              <w:t>, using the financing secured through the Better Care Fund</w:t>
            </w:r>
            <w:r w:rsidR="00446E17" w:rsidRPr="002D51FF">
              <w:rPr>
                <w:rStyle w:val="Firstpagetablebold"/>
                <w:b w:val="0"/>
              </w:rPr>
              <w:t xml:space="preserve"> (BCF</w:t>
            </w:r>
            <w:proofErr w:type="gramStart"/>
            <w:r w:rsidR="00446E17" w:rsidRPr="002D51FF">
              <w:rPr>
                <w:rStyle w:val="Firstpagetablebold"/>
                <w:b w:val="0"/>
              </w:rPr>
              <w:t>)</w:t>
            </w:r>
            <w:r w:rsidR="00BF5AB5">
              <w:rPr>
                <w:rStyle w:val="Firstpagetablebold"/>
                <w:b w:val="0"/>
              </w:rPr>
              <w:t>;</w:t>
            </w:r>
            <w:proofErr w:type="gramEnd"/>
            <w:r w:rsidRPr="002D51FF">
              <w:rPr>
                <w:rStyle w:val="Firstpagetablebold"/>
                <w:b w:val="0"/>
              </w:rPr>
              <w:t xml:space="preserve"> </w:t>
            </w:r>
          </w:p>
          <w:p w14:paraId="3E206FFA" w14:textId="54075376" w:rsidR="005F70A8" w:rsidRDefault="005F70A8" w:rsidP="0048120E">
            <w:pPr>
              <w:rPr>
                <w:rStyle w:val="Firstpagetablebold"/>
                <w:b w:val="0"/>
              </w:rPr>
            </w:pPr>
          </w:p>
          <w:p w14:paraId="7D749D5D" w14:textId="71BD76FB" w:rsidR="005F70A8" w:rsidRDefault="005F70A8" w:rsidP="005F70A8">
            <w:r w:rsidRPr="004F7FA7">
              <w:rPr>
                <w:b/>
              </w:rPr>
              <w:t>Recommend</w:t>
            </w:r>
            <w:r>
              <w:t xml:space="preserve"> </w:t>
            </w:r>
            <w:r w:rsidRPr="00BF5AB5">
              <w:rPr>
                <w:b/>
                <w:bCs/>
              </w:rPr>
              <w:t>to Council</w:t>
            </w:r>
            <w:r>
              <w:t xml:space="preserve"> the allocation of £1.2 million to continue to fund the O</w:t>
            </w:r>
            <w:r w:rsidR="00BF5AB5">
              <w:t xml:space="preserve">xfordshire </w:t>
            </w:r>
            <w:r>
              <w:t>O</w:t>
            </w:r>
            <w:r w:rsidR="00BF5AB5">
              <w:t xml:space="preserve">ut of </w:t>
            </w:r>
            <w:r>
              <w:t>H</w:t>
            </w:r>
            <w:r w:rsidR="00BF5AB5">
              <w:t xml:space="preserve">ospital </w:t>
            </w:r>
            <w:r>
              <w:t>C</w:t>
            </w:r>
            <w:r w:rsidR="00BF5AB5">
              <w:t xml:space="preserve">are </w:t>
            </w:r>
            <w:r w:rsidR="002E384F">
              <w:t>M</w:t>
            </w:r>
            <w:r w:rsidR="00BF5AB5">
              <w:t>odel</w:t>
            </w:r>
            <w:r>
              <w:t xml:space="preserve"> until 3</w:t>
            </w:r>
            <w:r w:rsidR="00CE05D7">
              <w:t>1</w:t>
            </w:r>
            <w:r w:rsidR="00CE05D7" w:rsidRPr="00BF5AB5">
              <w:rPr>
                <w:vertAlign w:val="superscript"/>
              </w:rPr>
              <w:t>st</w:t>
            </w:r>
            <w:r w:rsidR="00BF5AB5">
              <w:t xml:space="preserve"> </w:t>
            </w:r>
            <w:r>
              <w:t xml:space="preserve">March 2024, using funding from </w:t>
            </w:r>
            <w:r w:rsidR="00712402">
              <w:t xml:space="preserve">the </w:t>
            </w:r>
            <w:r w:rsidR="002D51FF">
              <w:t>B</w:t>
            </w:r>
            <w:r w:rsidR="00712402">
              <w:t xml:space="preserve">etter </w:t>
            </w:r>
            <w:r w:rsidR="002D51FF">
              <w:t>C</w:t>
            </w:r>
            <w:r w:rsidR="00712402">
              <w:t xml:space="preserve">are </w:t>
            </w:r>
            <w:proofErr w:type="gramStart"/>
            <w:r w:rsidR="002D51FF">
              <w:t>F</w:t>
            </w:r>
            <w:r w:rsidR="00712402">
              <w:t>und</w:t>
            </w:r>
            <w:r w:rsidR="00BF5AB5">
              <w:t>;</w:t>
            </w:r>
            <w:proofErr w:type="gramEnd"/>
          </w:p>
          <w:p w14:paraId="3475CBE3" w14:textId="77777777" w:rsidR="002D51FF" w:rsidRDefault="002D51FF" w:rsidP="005F70A8">
            <w:pPr>
              <w:rPr>
                <w:b/>
              </w:rPr>
            </w:pPr>
          </w:p>
          <w:p w14:paraId="2ABF06A7" w14:textId="01ADB661" w:rsidR="0048120E" w:rsidRDefault="005F70A8" w:rsidP="005F70A8">
            <w:r w:rsidRPr="007B76A6">
              <w:rPr>
                <w:b/>
              </w:rPr>
              <w:t xml:space="preserve">Delegate </w:t>
            </w:r>
            <w:r w:rsidRPr="00BF5AB5">
              <w:rPr>
                <w:b/>
                <w:bCs/>
              </w:rPr>
              <w:t>authority</w:t>
            </w:r>
            <w:r>
              <w:t xml:space="preserve"> to the Executive Director (Communities and People) in consultation with the Cabinet Member for Housing</w:t>
            </w:r>
            <w:r w:rsidR="00BF5AB5">
              <w:t>,</w:t>
            </w:r>
            <w:r>
              <w:t xml:space="preserve"> the Head of Financial Services</w:t>
            </w:r>
            <w:r w:rsidR="00BF5AB5">
              <w:t xml:space="preserve"> </w:t>
            </w:r>
            <w:r>
              <w:t>/</w:t>
            </w:r>
            <w:r w:rsidR="00BF5AB5">
              <w:t xml:space="preserve"> </w:t>
            </w:r>
            <w:r>
              <w:t>Section 151 Officer</w:t>
            </w:r>
            <w:r w:rsidR="00BF5AB5">
              <w:t>,</w:t>
            </w:r>
            <w:r>
              <w:t xml:space="preserve"> and the Head of Law and Governance</w:t>
            </w:r>
            <w:r w:rsidR="00BF5AB5">
              <w:t xml:space="preserve"> </w:t>
            </w:r>
            <w:r>
              <w:t>/</w:t>
            </w:r>
            <w:r w:rsidR="00BF5AB5">
              <w:t xml:space="preserve"> </w:t>
            </w:r>
            <w:r>
              <w:t xml:space="preserve">Monitoring Officer to enter into agreements and contracts to continue the </w:t>
            </w:r>
            <w:r w:rsidR="00BF5AB5">
              <w:t>Oxfordshire Out of Hospital Care Model</w:t>
            </w:r>
            <w:r>
              <w:t xml:space="preserve"> </w:t>
            </w:r>
            <w:r w:rsidR="00BF6262">
              <w:t>until 31</w:t>
            </w:r>
            <w:r w:rsidR="00BF6262" w:rsidRPr="00BF6262">
              <w:rPr>
                <w:vertAlign w:val="superscript"/>
              </w:rPr>
              <w:t>st</w:t>
            </w:r>
            <w:r w:rsidR="00BF6262">
              <w:t xml:space="preserve"> March 2024 </w:t>
            </w:r>
            <w:r>
              <w:t xml:space="preserve">within </w:t>
            </w:r>
            <w:r w:rsidRPr="002D51FF">
              <w:t>the</w:t>
            </w:r>
            <w:r w:rsidR="008D6E2F" w:rsidRPr="002E384F">
              <w:t xml:space="preserve"> level of </w:t>
            </w:r>
            <w:r w:rsidR="002D51FF" w:rsidRPr="002E384F">
              <w:t xml:space="preserve">the </w:t>
            </w:r>
            <w:r w:rsidR="008D6E2F" w:rsidRPr="002E384F">
              <w:t>external funding</w:t>
            </w:r>
            <w:r w:rsidR="002D51FF" w:rsidRPr="002E384F">
              <w:t xml:space="preserve"> award</w:t>
            </w:r>
            <w:r w:rsidRPr="002E384F">
              <w:t xml:space="preserve"> </w:t>
            </w:r>
            <w:r w:rsidRPr="002D51FF">
              <w:t>and within the project approval</w:t>
            </w:r>
            <w:r w:rsidR="00712402">
              <w:t>; and</w:t>
            </w:r>
          </w:p>
          <w:p w14:paraId="2C3912E7" w14:textId="550D07C5" w:rsidR="005F70A8" w:rsidRPr="00FF45C5" w:rsidRDefault="005F70A8" w:rsidP="00FA0F89"/>
        </w:tc>
      </w:tr>
      <w:tr w:rsidR="00712402" w:rsidRPr="00FF45C5" w14:paraId="1FA53B07" w14:textId="77777777" w:rsidTr="001F5307">
        <w:trPr>
          <w:trHeight w:val="283"/>
        </w:trPr>
        <w:tc>
          <w:tcPr>
            <w:tcW w:w="426" w:type="dxa"/>
            <w:tcBorders>
              <w:top w:val="nil"/>
              <w:left w:val="single" w:sz="8" w:space="0" w:color="000000" w:themeColor="text1"/>
              <w:bottom w:val="single" w:sz="8" w:space="0" w:color="000000" w:themeColor="text1"/>
              <w:right w:val="nil"/>
            </w:tcBorders>
          </w:tcPr>
          <w:p w14:paraId="71DDA35E" w14:textId="58C48BB7" w:rsidR="00712402" w:rsidRPr="00FF45C5" w:rsidRDefault="00712402" w:rsidP="005B403A">
            <w:r>
              <w:t>4.</w:t>
            </w:r>
          </w:p>
        </w:tc>
        <w:tc>
          <w:tcPr>
            <w:tcW w:w="8419" w:type="dxa"/>
            <w:tcBorders>
              <w:top w:val="nil"/>
              <w:left w:val="nil"/>
              <w:bottom w:val="single" w:sz="8" w:space="0" w:color="000000" w:themeColor="text1"/>
              <w:right w:val="single" w:sz="8" w:space="0" w:color="000000" w:themeColor="text1"/>
            </w:tcBorders>
            <w:shd w:val="clear" w:color="auto" w:fill="auto"/>
          </w:tcPr>
          <w:p w14:paraId="2BDB81BD" w14:textId="0A34174A" w:rsidR="00712402" w:rsidRDefault="00712402" w:rsidP="0048120E">
            <w:pPr>
              <w:rPr>
                <w:iCs/>
              </w:rPr>
            </w:pPr>
            <w:r w:rsidRPr="002E384F">
              <w:rPr>
                <w:b/>
                <w:bCs/>
                <w:iCs/>
              </w:rPr>
              <w:t>Delegate</w:t>
            </w:r>
            <w:r w:rsidRPr="002E384F">
              <w:rPr>
                <w:iCs/>
              </w:rPr>
              <w:t xml:space="preserve"> </w:t>
            </w:r>
            <w:r w:rsidRPr="00712402">
              <w:rPr>
                <w:b/>
                <w:bCs/>
                <w:iCs/>
              </w:rPr>
              <w:t>authority</w:t>
            </w:r>
            <w:r w:rsidRPr="002E384F">
              <w:rPr>
                <w:iCs/>
              </w:rPr>
              <w:t xml:space="preserve"> to the Executive Director (Communities and People) in consultation with the Cabinet Member for Housing</w:t>
            </w:r>
            <w:r>
              <w:rPr>
                <w:iCs/>
              </w:rPr>
              <w:t>,</w:t>
            </w:r>
            <w:r w:rsidRPr="002E384F">
              <w:rPr>
                <w:iCs/>
              </w:rPr>
              <w:t xml:space="preserve"> the Head of Financial </w:t>
            </w:r>
            <w:r w:rsidRPr="002E384F">
              <w:rPr>
                <w:iCs/>
              </w:rPr>
              <w:lastRenderedPageBreak/>
              <w:t>Services</w:t>
            </w:r>
            <w:r>
              <w:rPr>
                <w:iCs/>
              </w:rPr>
              <w:t xml:space="preserve"> </w:t>
            </w:r>
            <w:r w:rsidRPr="002E384F">
              <w:rPr>
                <w:iCs/>
              </w:rPr>
              <w:t>/</w:t>
            </w:r>
            <w:r>
              <w:rPr>
                <w:iCs/>
              </w:rPr>
              <w:t xml:space="preserve"> </w:t>
            </w:r>
            <w:r w:rsidRPr="002E384F">
              <w:rPr>
                <w:iCs/>
              </w:rPr>
              <w:t>Section 151 Officer</w:t>
            </w:r>
            <w:r>
              <w:rPr>
                <w:iCs/>
              </w:rPr>
              <w:t>,</w:t>
            </w:r>
            <w:r w:rsidRPr="002E384F">
              <w:rPr>
                <w:iCs/>
              </w:rPr>
              <w:t xml:space="preserve"> and the Head of Law and Governance</w:t>
            </w:r>
            <w:r>
              <w:rPr>
                <w:iCs/>
              </w:rPr>
              <w:t xml:space="preserve"> </w:t>
            </w:r>
            <w:r w:rsidRPr="002E384F">
              <w:rPr>
                <w:iCs/>
              </w:rPr>
              <w:t>/</w:t>
            </w:r>
            <w:r>
              <w:rPr>
                <w:iCs/>
              </w:rPr>
              <w:t xml:space="preserve"> </w:t>
            </w:r>
            <w:r w:rsidRPr="002E384F">
              <w:rPr>
                <w:iCs/>
              </w:rPr>
              <w:t>Monitoring Officer to enter into agreements and contracts to continue the</w:t>
            </w:r>
            <w:r>
              <w:rPr>
                <w:iCs/>
              </w:rPr>
              <w:t xml:space="preserve"> </w:t>
            </w:r>
            <w:r w:rsidRPr="00FF45C5">
              <w:rPr>
                <w:rStyle w:val="Firstpagetablebold"/>
                <w:b w:val="0"/>
              </w:rPr>
              <w:t xml:space="preserve">Oxfordshire Out </w:t>
            </w:r>
            <w:r w:rsidRPr="002D51FF">
              <w:rPr>
                <w:rStyle w:val="Firstpagetablebold"/>
                <w:b w:val="0"/>
              </w:rPr>
              <w:t>of Hospital Care Model</w:t>
            </w:r>
            <w:r w:rsidRPr="002E384F">
              <w:rPr>
                <w:iCs/>
              </w:rPr>
              <w:t xml:space="preserve"> beyond 31</w:t>
            </w:r>
            <w:r w:rsidR="00485A60" w:rsidRPr="00485A60">
              <w:rPr>
                <w:iCs/>
                <w:vertAlign w:val="superscript"/>
              </w:rPr>
              <w:t>st</w:t>
            </w:r>
            <w:r w:rsidR="00485A60">
              <w:rPr>
                <w:iCs/>
              </w:rPr>
              <w:t xml:space="preserve"> </w:t>
            </w:r>
            <w:r w:rsidRPr="002E384F">
              <w:rPr>
                <w:iCs/>
              </w:rPr>
              <w:t xml:space="preserve"> March 2024, up to a maximum of five years</w:t>
            </w:r>
            <w:r>
              <w:rPr>
                <w:iCs/>
              </w:rPr>
              <w:t xml:space="preserve"> with an early termination clause</w:t>
            </w:r>
            <w:r w:rsidRPr="002E384F">
              <w:rPr>
                <w:iCs/>
              </w:rPr>
              <w:t xml:space="preserve">, </w:t>
            </w:r>
            <w:r w:rsidR="00485A60">
              <w:rPr>
                <w:iCs/>
              </w:rPr>
              <w:t>subject to</w:t>
            </w:r>
            <w:r w:rsidRPr="002E384F">
              <w:rPr>
                <w:iCs/>
              </w:rPr>
              <w:t xml:space="preserve"> ongoing financing </w:t>
            </w:r>
            <w:r w:rsidR="00485A60">
              <w:rPr>
                <w:iCs/>
              </w:rPr>
              <w:t>being</w:t>
            </w:r>
            <w:r w:rsidRPr="002E384F">
              <w:rPr>
                <w:iCs/>
              </w:rPr>
              <w:t xml:space="preserve"> secured and in place.  </w:t>
            </w:r>
          </w:p>
          <w:p w14:paraId="5ED1548B" w14:textId="7DF7F0BD" w:rsidR="00712402" w:rsidRPr="00FF45C5" w:rsidRDefault="00712402" w:rsidP="0048120E">
            <w:pPr>
              <w:rPr>
                <w:rStyle w:val="Firstpagetablebold"/>
              </w:rPr>
            </w:pPr>
          </w:p>
        </w:tc>
      </w:tr>
    </w:tbl>
    <w:p w14:paraId="33D60F67" w14:textId="77777777" w:rsidR="00712402" w:rsidRDefault="007124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6779"/>
      </w:tblGrid>
      <w:tr w:rsidR="009C0B56" w:rsidRPr="00FF45C5" w14:paraId="64B119A7" w14:textId="77777777" w:rsidTr="2C3EBC8E">
        <w:tc>
          <w:tcPr>
            <w:tcW w:w="88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21D9E6" w14:textId="77777777" w:rsidR="009C0B56" w:rsidRPr="00FF45C5" w:rsidRDefault="009C0B56" w:rsidP="005B403A">
            <w:pPr>
              <w:jc w:val="center"/>
            </w:pPr>
            <w:r w:rsidRPr="00FF45C5">
              <w:rPr>
                <w:rStyle w:val="Firstpagetablebold"/>
              </w:rPr>
              <w:t>Appendices</w:t>
            </w:r>
          </w:p>
        </w:tc>
      </w:tr>
      <w:tr w:rsidR="009C0B56" w:rsidRPr="00FF45C5" w14:paraId="6433A12D" w14:textId="77777777" w:rsidTr="00BF6262">
        <w:tc>
          <w:tcPr>
            <w:tcW w:w="2066" w:type="dxa"/>
            <w:tcBorders>
              <w:top w:val="single" w:sz="8" w:space="0" w:color="000000" w:themeColor="text1"/>
              <w:left w:val="single" w:sz="8" w:space="0" w:color="000000" w:themeColor="text1"/>
              <w:bottom w:val="nil"/>
              <w:right w:val="nil"/>
            </w:tcBorders>
            <w:shd w:val="clear" w:color="auto" w:fill="auto"/>
          </w:tcPr>
          <w:p w14:paraId="79321858" w14:textId="6AF92742" w:rsidR="009C0B56" w:rsidRPr="00FF45C5" w:rsidRDefault="005B403A" w:rsidP="005B403A">
            <w:r>
              <w:t>Appendix 1</w:t>
            </w:r>
          </w:p>
        </w:tc>
        <w:tc>
          <w:tcPr>
            <w:tcW w:w="6779" w:type="dxa"/>
            <w:tcBorders>
              <w:top w:val="single" w:sz="8" w:space="0" w:color="000000" w:themeColor="text1"/>
              <w:left w:val="nil"/>
              <w:bottom w:val="nil"/>
              <w:right w:val="single" w:sz="8" w:space="0" w:color="000000" w:themeColor="text1"/>
            </w:tcBorders>
          </w:tcPr>
          <w:p w14:paraId="12912011" w14:textId="77777777" w:rsidR="009C0B56" w:rsidRDefault="00BF6262" w:rsidP="005B403A">
            <w:r>
              <w:t xml:space="preserve">OOHC staffing </w:t>
            </w:r>
            <w:proofErr w:type="gramStart"/>
            <w:r>
              <w:t>Model</w:t>
            </w:r>
            <w:proofErr w:type="gramEnd"/>
          </w:p>
          <w:p w14:paraId="11DCF1C4" w14:textId="761EB19F" w:rsidR="001F5307" w:rsidRPr="00FF45C5" w:rsidRDefault="001F5307" w:rsidP="005B403A"/>
        </w:tc>
      </w:tr>
      <w:tr w:rsidR="009C0B56" w:rsidRPr="00FF45C5" w14:paraId="264F8E0E" w14:textId="77777777" w:rsidTr="00BF6262">
        <w:tc>
          <w:tcPr>
            <w:tcW w:w="2066" w:type="dxa"/>
            <w:tcBorders>
              <w:top w:val="nil"/>
              <w:left w:val="single" w:sz="8" w:space="0" w:color="000000" w:themeColor="text1"/>
              <w:bottom w:val="nil"/>
              <w:right w:val="nil"/>
            </w:tcBorders>
            <w:shd w:val="clear" w:color="auto" w:fill="auto"/>
          </w:tcPr>
          <w:p w14:paraId="6F66A366" w14:textId="736401FD" w:rsidR="005B403A" w:rsidRDefault="005B403A" w:rsidP="005B403A">
            <w:r>
              <w:t xml:space="preserve">Appendix 2 </w:t>
            </w:r>
          </w:p>
          <w:p w14:paraId="2BBB254C" w14:textId="6D1B4AE3" w:rsidR="009C0B56" w:rsidRPr="00FF45C5" w:rsidRDefault="009C0B56" w:rsidP="005B403A"/>
        </w:tc>
        <w:tc>
          <w:tcPr>
            <w:tcW w:w="6779" w:type="dxa"/>
            <w:tcBorders>
              <w:top w:val="nil"/>
              <w:left w:val="nil"/>
              <w:bottom w:val="nil"/>
              <w:right w:val="single" w:sz="8" w:space="0" w:color="000000" w:themeColor="text1"/>
            </w:tcBorders>
          </w:tcPr>
          <w:p w14:paraId="4592A84E" w14:textId="1C4FEE1E" w:rsidR="009C0B56" w:rsidRPr="00FF45C5" w:rsidRDefault="00BF6262" w:rsidP="005B403A">
            <w:r>
              <w:t>Diagram of flow</w:t>
            </w:r>
          </w:p>
        </w:tc>
      </w:tr>
      <w:tr w:rsidR="009C0B56" w:rsidRPr="00FF45C5" w14:paraId="21A00354" w14:textId="77777777" w:rsidTr="00BF6262">
        <w:tc>
          <w:tcPr>
            <w:tcW w:w="2066" w:type="dxa"/>
            <w:tcBorders>
              <w:top w:val="nil"/>
              <w:left w:val="single" w:sz="8" w:space="0" w:color="000000" w:themeColor="text1"/>
              <w:bottom w:val="nil"/>
              <w:right w:val="nil"/>
            </w:tcBorders>
            <w:shd w:val="clear" w:color="auto" w:fill="auto"/>
          </w:tcPr>
          <w:p w14:paraId="55098122" w14:textId="5EAD4038" w:rsidR="009C0B56" w:rsidRPr="00FF45C5" w:rsidRDefault="00BF6262" w:rsidP="005B403A">
            <w:r>
              <w:t>Appendix 3</w:t>
            </w:r>
          </w:p>
        </w:tc>
        <w:tc>
          <w:tcPr>
            <w:tcW w:w="6779" w:type="dxa"/>
            <w:tcBorders>
              <w:top w:val="nil"/>
              <w:left w:val="nil"/>
              <w:bottom w:val="nil"/>
              <w:right w:val="single" w:sz="8" w:space="0" w:color="000000" w:themeColor="text1"/>
            </w:tcBorders>
          </w:tcPr>
          <w:p w14:paraId="59D2BE68" w14:textId="77777777" w:rsidR="00BF6262" w:rsidRDefault="00BF6262" w:rsidP="00BF6262">
            <w:r>
              <w:t>Case study 1</w:t>
            </w:r>
          </w:p>
          <w:p w14:paraId="68ABCB38" w14:textId="77777777" w:rsidR="009C0B56" w:rsidRPr="00FF45C5" w:rsidRDefault="009C0B56" w:rsidP="005B403A"/>
        </w:tc>
      </w:tr>
      <w:tr w:rsidR="009C0B56" w:rsidRPr="00FF45C5" w14:paraId="6C489625" w14:textId="77777777" w:rsidTr="00BF6262">
        <w:trPr>
          <w:trHeight w:val="60"/>
        </w:trPr>
        <w:tc>
          <w:tcPr>
            <w:tcW w:w="2066" w:type="dxa"/>
            <w:tcBorders>
              <w:top w:val="nil"/>
              <w:left w:val="single" w:sz="8" w:space="0" w:color="000000" w:themeColor="text1"/>
              <w:bottom w:val="single" w:sz="8" w:space="0" w:color="000000" w:themeColor="text1"/>
              <w:right w:val="nil"/>
            </w:tcBorders>
            <w:shd w:val="clear" w:color="auto" w:fill="auto"/>
          </w:tcPr>
          <w:p w14:paraId="12AC7B25" w14:textId="3785812E" w:rsidR="009C0B56" w:rsidRPr="00FF45C5" w:rsidRDefault="00BF6262" w:rsidP="005B403A">
            <w:r>
              <w:t>Appendix 4</w:t>
            </w:r>
          </w:p>
        </w:tc>
        <w:tc>
          <w:tcPr>
            <w:tcW w:w="6779" w:type="dxa"/>
            <w:tcBorders>
              <w:top w:val="nil"/>
              <w:left w:val="nil"/>
              <w:bottom w:val="single" w:sz="8" w:space="0" w:color="000000" w:themeColor="text1"/>
              <w:right w:val="single" w:sz="8" w:space="0" w:color="000000" w:themeColor="text1"/>
            </w:tcBorders>
          </w:tcPr>
          <w:p w14:paraId="57586B71" w14:textId="77777777" w:rsidR="009C0B56" w:rsidRDefault="00BF6262" w:rsidP="005B403A">
            <w:r>
              <w:t>Case study 2</w:t>
            </w:r>
          </w:p>
          <w:p w14:paraId="7DFCF4CF" w14:textId="003A4AE9" w:rsidR="001F5307" w:rsidRPr="00FF45C5" w:rsidRDefault="001F5307" w:rsidP="005B403A"/>
        </w:tc>
      </w:tr>
    </w:tbl>
    <w:p w14:paraId="38C93227" w14:textId="77777777" w:rsidR="00E77977" w:rsidRPr="00FF45C5" w:rsidRDefault="00E77977" w:rsidP="001F5307">
      <w:pPr>
        <w:rPr>
          <w:u w:val="single"/>
        </w:rPr>
      </w:pPr>
    </w:p>
    <w:p w14:paraId="1995E141" w14:textId="77777777" w:rsidR="00E77977" w:rsidRPr="00FF45C5" w:rsidRDefault="00E77977" w:rsidP="00E77977">
      <w:pPr>
        <w:pStyle w:val="Heading1"/>
        <w:rPr>
          <w:rFonts w:cs="Arial"/>
        </w:rPr>
      </w:pPr>
      <w:r w:rsidRPr="00FF45C5">
        <w:rPr>
          <w:rFonts w:cs="Arial"/>
        </w:rPr>
        <w:t xml:space="preserve">Introduction and background </w:t>
      </w:r>
    </w:p>
    <w:p w14:paraId="25EF4159" w14:textId="77777777" w:rsidR="00E77977" w:rsidRPr="00FF45C5" w:rsidRDefault="00E77977" w:rsidP="00E77977"/>
    <w:p w14:paraId="66AAB8CA" w14:textId="5FDA735F" w:rsidR="00E77977" w:rsidRPr="00FF45C5" w:rsidRDefault="00E77977" w:rsidP="001F5307">
      <w:pPr>
        <w:ind w:left="532" w:hanging="532"/>
      </w:pPr>
      <w:r w:rsidRPr="00FF45C5">
        <w:t xml:space="preserve">1. </w:t>
      </w:r>
      <w:r w:rsidR="001F5307">
        <w:tab/>
      </w:r>
      <w:r w:rsidRPr="00FF45C5">
        <w:t>The Oxfordshi</w:t>
      </w:r>
      <w:r w:rsidR="002E384F">
        <w:t>re Out of Hospital Care Model (O</w:t>
      </w:r>
      <w:r w:rsidRPr="00FF45C5">
        <w:t xml:space="preserve">OHCM) was conceived in partnership between Oxford City Council, Oxford Health NHS Foundation </w:t>
      </w:r>
      <w:proofErr w:type="gramStart"/>
      <w:r w:rsidRPr="00FF45C5">
        <w:t>Trust</w:t>
      </w:r>
      <w:proofErr w:type="gramEnd"/>
      <w:r w:rsidRPr="00FF45C5">
        <w:t xml:space="preserve"> and Oxfordshire County Council (Adult Social Care). As such, an integrated approach has been integral from the outset.</w:t>
      </w:r>
    </w:p>
    <w:p w14:paraId="3E8005D5" w14:textId="77777777" w:rsidR="00E77977" w:rsidRPr="00FF45C5" w:rsidRDefault="00E77977" w:rsidP="001F5307">
      <w:pPr>
        <w:ind w:left="532" w:hanging="532"/>
      </w:pPr>
    </w:p>
    <w:p w14:paraId="506C9E29" w14:textId="5A88F9E6" w:rsidR="003B4F00" w:rsidRDefault="00E77977" w:rsidP="001F5307">
      <w:pPr>
        <w:ind w:left="532" w:hanging="532"/>
      </w:pPr>
      <w:r w:rsidRPr="00FF45C5">
        <w:t xml:space="preserve">2. </w:t>
      </w:r>
      <w:r w:rsidR="001F5307">
        <w:tab/>
      </w:r>
      <w:r w:rsidR="00460E01">
        <w:t>The OOHCM started</w:t>
      </w:r>
      <w:r w:rsidR="00BE0DD9">
        <w:t xml:space="preserve"> </w:t>
      </w:r>
      <w:r w:rsidRPr="00FF45C5">
        <w:t>operationally in February 2021, through an initial 15 months' award from the Department of Health and Social Care's 'Shared Outcomes Fund' to test innovative ways of working</w:t>
      </w:r>
      <w:r w:rsidR="003B4F00">
        <w:t xml:space="preserve"> across public sector systems. Oxford City Council has held all the funds awarded to the OOHC Model and paid service providers on a quarterly basis.</w:t>
      </w:r>
    </w:p>
    <w:p w14:paraId="71FC664E" w14:textId="77777777" w:rsidR="003B4F00" w:rsidRDefault="003B4F00" w:rsidP="001F5307">
      <w:pPr>
        <w:ind w:left="532" w:hanging="532"/>
      </w:pPr>
    </w:p>
    <w:p w14:paraId="7AEDAF40" w14:textId="53E7C618" w:rsidR="00E77977" w:rsidRPr="00FF45C5" w:rsidRDefault="003B4F00" w:rsidP="001F5307">
      <w:pPr>
        <w:ind w:left="532" w:hanging="532"/>
      </w:pPr>
      <w:r>
        <w:t xml:space="preserve">3. </w:t>
      </w:r>
      <w:r w:rsidR="001F5307">
        <w:tab/>
      </w:r>
      <w:r w:rsidR="2C3EBC8E" w:rsidRPr="2C3EBC8E">
        <w:rPr>
          <w:rFonts w:eastAsiaTheme="minorEastAsia"/>
        </w:rPr>
        <w:t xml:space="preserve">OOHCM is part </w:t>
      </w:r>
      <w:r w:rsidR="00E77977" w:rsidRPr="2C3EBC8E">
        <w:rPr>
          <w:rFonts w:eastAsiaTheme="minorEastAsia"/>
          <w:kern w:val="24"/>
        </w:rPr>
        <w:t xml:space="preserve">of a </w:t>
      </w:r>
      <w:r w:rsidR="00E77977" w:rsidRPr="00FF45C5">
        <w:t>n</w:t>
      </w:r>
      <w:r w:rsidR="00E77977" w:rsidRPr="2C3EBC8E">
        <w:rPr>
          <w:rFonts w:eastAsiaTheme="minorEastAsia"/>
          <w:kern w:val="24"/>
        </w:rPr>
        <w:t>ationwide programme of 18 sites w</w:t>
      </w:r>
      <w:r w:rsidR="00E77977" w:rsidRPr="00FF45C5">
        <w:t xml:space="preserve">orking with people either experiencing or at risk of homelessness, the </w:t>
      </w:r>
      <w:r w:rsidR="002B4889">
        <w:t xml:space="preserve">original </w:t>
      </w:r>
      <w:r w:rsidR="00E77977" w:rsidRPr="00FF45C5">
        <w:t xml:space="preserve">core aims of the model were to: </w:t>
      </w:r>
    </w:p>
    <w:p w14:paraId="0B692044" w14:textId="77777777" w:rsidR="00655E3C" w:rsidRPr="00FF45C5" w:rsidRDefault="00655E3C" w:rsidP="00E77977"/>
    <w:p w14:paraId="5B078779" w14:textId="7DA762E1" w:rsidR="00E77977" w:rsidRPr="00FF45C5" w:rsidRDefault="00E77977" w:rsidP="001F5307">
      <w:pPr>
        <w:pStyle w:val="ListParagraph"/>
        <w:numPr>
          <w:ilvl w:val="0"/>
          <w:numId w:val="5"/>
        </w:numPr>
        <w:ind w:left="980" w:hanging="434"/>
      </w:pPr>
      <w:r w:rsidRPr="00FF45C5">
        <w:rPr>
          <w:rFonts w:eastAsiaTheme="minorEastAsia"/>
          <w:kern w:val="24"/>
        </w:rPr>
        <w:t>Prevent discharges to street and associated re</w:t>
      </w:r>
      <w:r w:rsidR="001F5307">
        <w:rPr>
          <w:rFonts w:eastAsiaTheme="minorEastAsia"/>
          <w:kern w:val="24"/>
        </w:rPr>
        <w:t>-</w:t>
      </w:r>
      <w:proofErr w:type="gramStart"/>
      <w:r w:rsidRPr="00FF45C5">
        <w:rPr>
          <w:rFonts w:eastAsiaTheme="minorEastAsia"/>
          <w:kern w:val="24"/>
        </w:rPr>
        <w:t>admissions;</w:t>
      </w:r>
      <w:proofErr w:type="gramEnd"/>
    </w:p>
    <w:p w14:paraId="4AE524B1" w14:textId="77777777" w:rsidR="00E77977" w:rsidRPr="00FF45C5" w:rsidRDefault="00E77977" w:rsidP="001F5307">
      <w:pPr>
        <w:pStyle w:val="ListParagraph"/>
        <w:numPr>
          <w:ilvl w:val="0"/>
          <w:numId w:val="5"/>
        </w:numPr>
        <w:ind w:left="980" w:hanging="434"/>
      </w:pPr>
      <w:r w:rsidRPr="00FF45C5">
        <w:rPr>
          <w:rFonts w:eastAsiaTheme="minorEastAsia"/>
          <w:kern w:val="24"/>
        </w:rPr>
        <w:t>Avoid hospital attendance and admissions (where health, care and support needs can be better met in the community</w:t>
      </w:r>
      <w:proofErr w:type="gramStart"/>
      <w:r w:rsidRPr="00FF45C5">
        <w:rPr>
          <w:rFonts w:eastAsiaTheme="minorEastAsia"/>
          <w:kern w:val="24"/>
        </w:rPr>
        <w:t>);</w:t>
      </w:r>
      <w:proofErr w:type="gramEnd"/>
    </w:p>
    <w:p w14:paraId="53BD7E2E" w14:textId="77777777" w:rsidR="00E77977" w:rsidRPr="00FF45C5" w:rsidRDefault="00E77977" w:rsidP="001F5307">
      <w:pPr>
        <w:pStyle w:val="ListParagraph"/>
        <w:numPr>
          <w:ilvl w:val="0"/>
          <w:numId w:val="5"/>
        </w:numPr>
        <w:ind w:left="980" w:hanging="434"/>
      </w:pPr>
      <w:r w:rsidRPr="00FF45C5">
        <w:rPr>
          <w:rFonts w:eastAsiaTheme="minorEastAsia"/>
          <w:kern w:val="24"/>
        </w:rPr>
        <w:t>Support an improvement in an individual’s health and wellbeing; and</w:t>
      </w:r>
    </w:p>
    <w:p w14:paraId="279E896C" w14:textId="77777777" w:rsidR="00E77977" w:rsidRPr="003B4F00" w:rsidRDefault="00E77977" w:rsidP="001F5307">
      <w:pPr>
        <w:pStyle w:val="ListParagraph"/>
        <w:numPr>
          <w:ilvl w:val="0"/>
          <w:numId w:val="5"/>
        </w:numPr>
        <w:ind w:left="980" w:hanging="434"/>
      </w:pPr>
      <w:r w:rsidRPr="00FF45C5">
        <w:rPr>
          <w:rFonts w:eastAsiaTheme="minorEastAsia"/>
          <w:kern w:val="24"/>
        </w:rPr>
        <w:t>Prevent rough sleeping and homelessness.</w:t>
      </w:r>
    </w:p>
    <w:p w14:paraId="080ABE7E" w14:textId="77777777" w:rsidR="003B4F00" w:rsidRDefault="003B4F00" w:rsidP="003B4F00"/>
    <w:p w14:paraId="1F3A9B7A" w14:textId="1EF4147D" w:rsidR="00E77977" w:rsidRPr="00FF45C5" w:rsidRDefault="003B4F00" w:rsidP="001F5307">
      <w:pPr>
        <w:ind w:left="560" w:hanging="560"/>
        <w:rPr>
          <w:rFonts w:eastAsiaTheme="minorEastAsia"/>
          <w:kern w:val="24"/>
        </w:rPr>
      </w:pPr>
      <w:r>
        <w:t>4</w:t>
      </w:r>
      <w:r w:rsidR="00E77977" w:rsidRPr="00FF45C5">
        <w:t xml:space="preserve">. </w:t>
      </w:r>
      <w:r w:rsidR="001F5307">
        <w:tab/>
      </w:r>
      <w:r w:rsidR="00E77977" w:rsidRPr="00FF45C5">
        <w:t xml:space="preserve">The OOHCM national programme is being evaluated </w:t>
      </w:r>
      <w:r w:rsidR="00E77977" w:rsidRPr="00FF45C5">
        <w:rPr>
          <w:rFonts w:eastAsiaTheme="minorEastAsia"/>
          <w:kern w:val="24"/>
        </w:rPr>
        <w:t xml:space="preserve">by King’s College London (KCL), with their full report due September 2023. However, in January 2022, Dr Michelle </w:t>
      </w:r>
      <w:proofErr w:type="spellStart"/>
      <w:r w:rsidR="00E77977" w:rsidRPr="00FF45C5">
        <w:rPr>
          <w:rFonts w:eastAsiaTheme="minorEastAsia"/>
          <w:kern w:val="24"/>
        </w:rPr>
        <w:t>Cornes</w:t>
      </w:r>
      <w:proofErr w:type="spellEnd"/>
      <w:r w:rsidR="00E77977" w:rsidRPr="00FF45C5">
        <w:rPr>
          <w:rFonts w:eastAsiaTheme="minorEastAsia"/>
          <w:kern w:val="24"/>
        </w:rPr>
        <w:t xml:space="preserve"> (Senior Research Fellow) chose Oxfordshire as the focus of an interim Audit, which found </w:t>
      </w:r>
      <w:r w:rsidR="002B4889">
        <w:rPr>
          <w:rFonts w:eastAsiaTheme="minorEastAsia"/>
          <w:kern w:val="24"/>
        </w:rPr>
        <w:t>it</w:t>
      </w:r>
      <w:r w:rsidR="00E77977" w:rsidRPr="00FF45C5">
        <w:rPr>
          <w:rFonts w:eastAsiaTheme="minorEastAsia"/>
          <w:kern w:val="24"/>
        </w:rPr>
        <w:t xml:space="preserve"> to be:</w:t>
      </w:r>
    </w:p>
    <w:p w14:paraId="266B5789" w14:textId="77777777" w:rsidR="00E77977" w:rsidRPr="00FF45C5" w:rsidRDefault="00E77977" w:rsidP="00E77977">
      <w:pPr>
        <w:rPr>
          <w:rFonts w:eastAsiaTheme="minorEastAsia"/>
          <w:kern w:val="24"/>
        </w:rPr>
      </w:pPr>
    </w:p>
    <w:p w14:paraId="7F09EFCB" w14:textId="77777777" w:rsidR="00E77977" w:rsidRPr="00FF45C5" w:rsidRDefault="00E77977" w:rsidP="001F5307">
      <w:pPr>
        <w:pStyle w:val="ListParagraph"/>
        <w:numPr>
          <w:ilvl w:val="0"/>
          <w:numId w:val="34"/>
        </w:numPr>
        <w:tabs>
          <w:tab w:val="left" w:pos="426"/>
        </w:tabs>
        <w:spacing w:after="120"/>
        <w:ind w:left="980" w:hanging="420"/>
        <w:contextualSpacing w:val="0"/>
        <w:rPr>
          <w:rFonts w:eastAsiaTheme="minorEastAsia"/>
          <w:kern w:val="24"/>
        </w:rPr>
      </w:pPr>
      <w:r w:rsidRPr="00FF45C5">
        <w:rPr>
          <w:rFonts w:eastAsiaTheme="minorEastAsia"/>
          <w:kern w:val="24"/>
        </w:rPr>
        <w:t>A</w:t>
      </w:r>
      <w:r w:rsidRPr="00FF45C5">
        <w:t xml:space="preserve"> </w:t>
      </w:r>
      <w:r w:rsidRPr="001F5307">
        <w:t>“high fidelity”, evidence-based, Out-Of-Hospital Care Model</w:t>
      </w:r>
      <w:r w:rsidRPr="00FF45C5">
        <w:rPr>
          <w:b/>
          <w:bCs/>
        </w:rPr>
        <w:t xml:space="preserve"> </w:t>
      </w:r>
      <w:r w:rsidRPr="00FF45C5">
        <w:rPr>
          <w:bCs/>
        </w:rPr>
        <w:t>-</w:t>
      </w:r>
      <w:r w:rsidRPr="00FF45C5">
        <w:t xml:space="preserve"> implementing the key mechanisms for safe, timely discharge that are proven to reduce delays and emergency department attendances (</w:t>
      </w:r>
      <w:proofErr w:type="spellStart"/>
      <w:r w:rsidRPr="00FF45C5">
        <w:t>Cornes</w:t>
      </w:r>
      <w:proofErr w:type="spellEnd"/>
      <w:r w:rsidRPr="00FF45C5">
        <w:t xml:space="preserve"> et al, 2021</w:t>
      </w:r>
      <w:proofErr w:type="gramStart"/>
      <w:r w:rsidRPr="00FF45C5">
        <w:t>);</w:t>
      </w:r>
      <w:proofErr w:type="gramEnd"/>
    </w:p>
    <w:p w14:paraId="3B413476" w14:textId="13EA8CE3" w:rsidR="00E77977" w:rsidRPr="00FF45C5" w:rsidRDefault="00E77977" w:rsidP="001F5307">
      <w:pPr>
        <w:pStyle w:val="ListParagraph"/>
        <w:numPr>
          <w:ilvl w:val="0"/>
          <w:numId w:val="34"/>
        </w:numPr>
        <w:tabs>
          <w:tab w:val="left" w:pos="426"/>
        </w:tabs>
        <w:spacing w:after="120"/>
        <w:ind w:left="980" w:hanging="420"/>
        <w:contextualSpacing w:val="0"/>
        <w:rPr>
          <w:rFonts w:eastAsiaTheme="minorEastAsia"/>
          <w:kern w:val="24"/>
        </w:rPr>
      </w:pPr>
      <w:r w:rsidRPr="001F5307">
        <w:rPr>
          <w:bCs/>
        </w:rPr>
        <w:lastRenderedPageBreak/>
        <w:t>Highly cost effective</w:t>
      </w:r>
      <w:r w:rsidRPr="00FF45C5">
        <w:rPr>
          <w:b/>
          <w:bCs/>
        </w:rPr>
        <w:t xml:space="preserve"> </w:t>
      </w:r>
      <w:r w:rsidRPr="00FF45C5">
        <w:rPr>
          <w:bCs/>
        </w:rPr>
        <w:t xml:space="preserve">– with </w:t>
      </w:r>
      <w:r w:rsidRPr="001F5307">
        <w:t>cost savings</w:t>
      </w:r>
      <w:r w:rsidR="00BE0DD9" w:rsidRPr="001F5307">
        <w:t xml:space="preserve"> across the entire system</w:t>
      </w:r>
      <w:r w:rsidRPr="001F5307">
        <w:t xml:space="preserve"> of around </w:t>
      </w:r>
      <w:r w:rsidR="00460E01" w:rsidRPr="001F5307">
        <w:t>£</w:t>
      </w:r>
      <w:r w:rsidRPr="001F5307">
        <w:t>1.3m</w:t>
      </w:r>
      <w:r w:rsidRPr="00FF45C5">
        <w:rPr>
          <w:bCs/>
        </w:rPr>
        <w:t xml:space="preserve"> identified over the 10 months from Feb 2021 - Dec '</w:t>
      </w:r>
      <w:proofErr w:type="gramStart"/>
      <w:r w:rsidRPr="00FF45C5">
        <w:rPr>
          <w:bCs/>
        </w:rPr>
        <w:t>21;</w:t>
      </w:r>
      <w:proofErr w:type="gramEnd"/>
    </w:p>
    <w:p w14:paraId="4F865421" w14:textId="77777777" w:rsidR="00E77977" w:rsidRPr="001F5307" w:rsidRDefault="00E77977" w:rsidP="001F5307">
      <w:pPr>
        <w:pStyle w:val="ListParagraph"/>
        <w:numPr>
          <w:ilvl w:val="0"/>
          <w:numId w:val="34"/>
        </w:numPr>
        <w:tabs>
          <w:tab w:val="left" w:pos="426"/>
        </w:tabs>
        <w:spacing w:after="120"/>
        <w:ind w:left="980" w:hanging="420"/>
        <w:contextualSpacing w:val="0"/>
        <w:rPr>
          <w:rFonts w:eastAsiaTheme="minorEastAsia"/>
          <w:bCs/>
          <w:kern w:val="24"/>
        </w:rPr>
      </w:pPr>
      <w:r w:rsidRPr="001F5307">
        <w:rPr>
          <w:bCs/>
        </w:rPr>
        <w:t xml:space="preserve">High performing against national </w:t>
      </w:r>
      <w:proofErr w:type="gramStart"/>
      <w:r w:rsidRPr="001F5307">
        <w:rPr>
          <w:bCs/>
        </w:rPr>
        <w:t>benchmarks;</w:t>
      </w:r>
      <w:proofErr w:type="gramEnd"/>
    </w:p>
    <w:p w14:paraId="4F068C7B" w14:textId="7A919338" w:rsidR="002B4889" w:rsidRPr="001F5307" w:rsidRDefault="00E77977" w:rsidP="001F5307">
      <w:pPr>
        <w:pStyle w:val="ListParagraph"/>
        <w:numPr>
          <w:ilvl w:val="0"/>
          <w:numId w:val="34"/>
        </w:numPr>
        <w:tabs>
          <w:tab w:val="left" w:pos="426"/>
        </w:tabs>
        <w:spacing w:after="120"/>
        <w:ind w:left="980" w:hanging="420"/>
        <w:contextualSpacing w:val="0"/>
        <w:rPr>
          <w:rFonts w:eastAsiaTheme="minorEastAsia"/>
          <w:kern w:val="24"/>
        </w:rPr>
      </w:pPr>
      <w:r w:rsidRPr="00FF45C5">
        <w:t xml:space="preserve">Successful in </w:t>
      </w:r>
      <w:r w:rsidRPr="001F5307">
        <w:t>embedding within the local integrated care system</w:t>
      </w:r>
      <w:r w:rsidRPr="00FF45C5">
        <w:t xml:space="preserve"> facilitating </w:t>
      </w:r>
      <w:r w:rsidRPr="001F5307">
        <w:t>rapid patient flow from hospitals</w:t>
      </w:r>
      <w:r w:rsidRPr="00FF45C5">
        <w:t xml:space="preserve"> and through </w:t>
      </w:r>
      <w:proofErr w:type="gramStart"/>
      <w:r w:rsidRPr="00FF45C5">
        <w:t>Short and Long Term</w:t>
      </w:r>
      <w:proofErr w:type="gramEnd"/>
      <w:r w:rsidRPr="00FF45C5">
        <w:t xml:space="preserve"> Care (SALT).</w:t>
      </w:r>
    </w:p>
    <w:p w14:paraId="1E477D82" w14:textId="77777777" w:rsidR="002D51FF" w:rsidRPr="004F7FA7" w:rsidRDefault="002D51FF" w:rsidP="004F7FA7">
      <w:pPr>
        <w:tabs>
          <w:tab w:val="left" w:pos="426"/>
        </w:tabs>
        <w:spacing w:after="120"/>
        <w:rPr>
          <w:rFonts w:eastAsiaTheme="minorEastAsia"/>
          <w:kern w:val="24"/>
        </w:rPr>
      </w:pPr>
    </w:p>
    <w:p w14:paraId="570D1FBD" w14:textId="7EF39D9B" w:rsidR="002B4889" w:rsidRDefault="003B4F00" w:rsidP="001F5307">
      <w:pPr>
        <w:ind w:left="560" w:hanging="574"/>
      </w:pPr>
      <w:r>
        <w:t>5</w:t>
      </w:r>
      <w:r w:rsidR="00E77977" w:rsidRPr="00FF45C5">
        <w:t xml:space="preserve">. </w:t>
      </w:r>
      <w:r w:rsidR="001F5307">
        <w:tab/>
      </w:r>
      <w:r w:rsidR="00BE0DD9">
        <w:t xml:space="preserve">On the back of a successful first year, financing was secured </w:t>
      </w:r>
      <w:r w:rsidR="00E77977" w:rsidRPr="00FF45C5">
        <w:t>from a range of sources, including: R</w:t>
      </w:r>
      <w:r w:rsidR="00460E01">
        <w:t>ough Sleeping Initiative</w:t>
      </w:r>
      <w:r w:rsidR="00E77977" w:rsidRPr="00FF45C5">
        <w:t xml:space="preserve"> 22-25, NHS Urgent and Emergency Care and COVID Management Fund, to continue the model for a further 12 months beyond June 2022.</w:t>
      </w:r>
    </w:p>
    <w:p w14:paraId="200CBF4D" w14:textId="77777777" w:rsidR="002B4889" w:rsidRPr="00FF45C5" w:rsidRDefault="002B4889" w:rsidP="001F5307">
      <w:pPr>
        <w:ind w:left="560" w:hanging="574"/>
      </w:pPr>
    </w:p>
    <w:p w14:paraId="442300B4" w14:textId="62F251BF" w:rsidR="00E77977" w:rsidRPr="00FF45C5" w:rsidRDefault="00446E17" w:rsidP="001F5307">
      <w:pPr>
        <w:ind w:left="560" w:hanging="574"/>
        <w:rPr>
          <w:rFonts w:eastAsiaTheme="minorEastAsia"/>
          <w:kern w:val="24"/>
        </w:rPr>
      </w:pPr>
      <w:r w:rsidRPr="002D51FF">
        <w:t xml:space="preserve">6. </w:t>
      </w:r>
      <w:r w:rsidR="001F5307">
        <w:tab/>
      </w:r>
      <w:r w:rsidR="00E77977" w:rsidRPr="00FF45C5">
        <w:t xml:space="preserve">In </w:t>
      </w:r>
      <w:proofErr w:type="gramStart"/>
      <w:r w:rsidR="00E77977" w:rsidRPr="00FF45C5">
        <w:t>fact</w:t>
      </w:r>
      <w:proofErr w:type="gramEnd"/>
      <w:r w:rsidR="00E77977" w:rsidRPr="00FF45C5">
        <w:t xml:space="preserve"> </w:t>
      </w:r>
      <w:r w:rsidR="00BE0DD9">
        <w:t xml:space="preserve">it was possible </w:t>
      </w:r>
      <w:r w:rsidR="00E77977" w:rsidRPr="00FF45C5">
        <w:t xml:space="preserve">to grow the </w:t>
      </w:r>
      <w:r w:rsidR="002B4889">
        <w:t xml:space="preserve">OOHC Model </w:t>
      </w:r>
      <w:r w:rsidR="005B403A">
        <w:t xml:space="preserve">as it was </w:t>
      </w:r>
      <w:r w:rsidR="00E77977" w:rsidRPr="00FF45C5">
        <w:t>first invited to recruit and host</w:t>
      </w:r>
      <w:r w:rsidR="00E77977" w:rsidRPr="2C3EBC8E">
        <w:rPr>
          <w:rFonts w:eastAsiaTheme="minorEastAsia"/>
          <w:kern w:val="24"/>
        </w:rPr>
        <w:t xml:space="preserve"> additional specialist health roles on behalf of the </w:t>
      </w:r>
      <w:r w:rsidR="00E77977" w:rsidRPr="00FF45C5">
        <w:rPr>
          <w:shd w:val="clear" w:color="auto" w:fill="FFFFFF"/>
        </w:rPr>
        <w:t>Buckinghamshire, Oxfordshire &amp; West Berkshire Integrated Care Board (BOB ICB)</w:t>
      </w:r>
      <w:r w:rsidR="00E77977" w:rsidRPr="2C3EBC8E">
        <w:rPr>
          <w:rFonts w:eastAsiaTheme="minorEastAsia"/>
          <w:kern w:val="24"/>
        </w:rPr>
        <w:t xml:space="preserve"> and </w:t>
      </w:r>
      <w:r w:rsidR="005B403A" w:rsidRPr="2C3EBC8E">
        <w:rPr>
          <w:rFonts w:eastAsiaTheme="minorEastAsia"/>
          <w:kern w:val="24"/>
        </w:rPr>
        <w:t xml:space="preserve">was </w:t>
      </w:r>
      <w:r w:rsidR="00E77977" w:rsidRPr="2C3EBC8E">
        <w:rPr>
          <w:rFonts w:eastAsiaTheme="minorEastAsia"/>
          <w:kern w:val="24"/>
        </w:rPr>
        <w:t>then successful in a number of bids to the Better Care Fund (Winter Discharge).</w:t>
      </w:r>
    </w:p>
    <w:p w14:paraId="0DDED050" w14:textId="77777777" w:rsidR="00E77977" w:rsidRPr="00FF45C5" w:rsidRDefault="00E77977" w:rsidP="001F5307">
      <w:pPr>
        <w:ind w:left="560" w:hanging="574"/>
        <w:rPr>
          <w:rFonts w:eastAsiaTheme="minorEastAsia"/>
          <w:kern w:val="24"/>
        </w:rPr>
      </w:pPr>
    </w:p>
    <w:p w14:paraId="37EA3526" w14:textId="27E5BCD4" w:rsidR="00E77977" w:rsidRPr="00FF45C5" w:rsidRDefault="00446E17" w:rsidP="001F5307">
      <w:pPr>
        <w:ind w:left="560" w:hanging="574"/>
        <w:rPr>
          <w:rFonts w:eastAsiaTheme="minorEastAsia"/>
          <w:kern w:val="24"/>
        </w:rPr>
      </w:pPr>
      <w:r w:rsidRPr="002D51FF">
        <w:rPr>
          <w:rFonts w:eastAsiaTheme="minorEastAsia"/>
          <w:kern w:val="24"/>
        </w:rPr>
        <w:t>7.</w:t>
      </w:r>
      <w:r w:rsidR="001F5307">
        <w:rPr>
          <w:rFonts w:eastAsiaTheme="minorEastAsia"/>
          <w:kern w:val="24"/>
        </w:rPr>
        <w:tab/>
      </w:r>
      <w:r w:rsidR="00E77977" w:rsidRPr="00FF45C5">
        <w:rPr>
          <w:rFonts w:eastAsiaTheme="minorEastAsia"/>
          <w:kern w:val="24"/>
        </w:rPr>
        <w:t xml:space="preserve">Accordingly, </w:t>
      </w:r>
      <w:r w:rsidR="005B403A">
        <w:rPr>
          <w:rFonts w:eastAsiaTheme="minorEastAsia"/>
          <w:kern w:val="24"/>
        </w:rPr>
        <w:t xml:space="preserve">the </w:t>
      </w:r>
      <w:r w:rsidR="00E77977" w:rsidRPr="00FF45C5">
        <w:rPr>
          <w:rFonts w:eastAsiaTheme="minorEastAsia"/>
          <w:kern w:val="24"/>
        </w:rPr>
        <w:t>model's stated aims were expanded to include:</w:t>
      </w:r>
    </w:p>
    <w:p w14:paraId="2F05D377" w14:textId="77777777" w:rsidR="00E77977" w:rsidRPr="00FF45C5" w:rsidRDefault="00E77977" w:rsidP="00E77977"/>
    <w:p w14:paraId="0D8E3BD9" w14:textId="77777777" w:rsidR="00E77977" w:rsidRPr="00FF45C5" w:rsidRDefault="00E77977" w:rsidP="001F5307">
      <w:pPr>
        <w:numPr>
          <w:ilvl w:val="0"/>
          <w:numId w:val="36"/>
        </w:numPr>
        <w:tabs>
          <w:tab w:val="clear" w:pos="720"/>
        </w:tabs>
        <w:ind w:left="994" w:hanging="434"/>
      </w:pPr>
      <w:r w:rsidRPr="00FF45C5">
        <w:t xml:space="preserve">Improve access to mainstream services and reduce health, housing and care inequalities for people with multiple and complex </w:t>
      </w:r>
      <w:proofErr w:type="gramStart"/>
      <w:r w:rsidRPr="00FF45C5">
        <w:t>needs;</w:t>
      </w:r>
      <w:proofErr w:type="gramEnd"/>
    </w:p>
    <w:p w14:paraId="249AAF7A" w14:textId="77777777" w:rsidR="00E77977" w:rsidRPr="00FF45C5" w:rsidRDefault="00E77977" w:rsidP="001F5307">
      <w:pPr>
        <w:tabs>
          <w:tab w:val="num" w:pos="994"/>
        </w:tabs>
        <w:ind w:left="994" w:hanging="434"/>
      </w:pPr>
    </w:p>
    <w:p w14:paraId="5D4AA546" w14:textId="77777777" w:rsidR="00E77977" w:rsidRDefault="00E77977" w:rsidP="001F5307">
      <w:pPr>
        <w:numPr>
          <w:ilvl w:val="0"/>
          <w:numId w:val="36"/>
        </w:numPr>
        <w:tabs>
          <w:tab w:val="clear" w:pos="720"/>
        </w:tabs>
        <w:ind w:left="994" w:hanging="434"/>
      </w:pPr>
      <w:r w:rsidRPr="00FF45C5">
        <w:t xml:space="preserve">Increase elective engagement with care and treatment to support an improvement in health and wellbeing and avoid hospital admissions where a person’s needs can be better met in the community. </w:t>
      </w:r>
    </w:p>
    <w:p w14:paraId="62D77228" w14:textId="77777777" w:rsidR="005B403A" w:rsidRDefault="005B403A" w:rsidP="004F7FA7"/>
    <w:p w14:paraId="3BC92353" w14:textId="77777777" w:rsidR="005B403A" w:rsidRDefault="005B403A" w:rsidP="004F7FA7"/>
    <w:p w14:paraId="75EB5157" w14:textId="77777777" w:rsidR="005B403A" w:rsidRPr="00FF45C5" w:rsidRDefault="005B403A" w:rsidP="005B403A">
      <w:pPr>
        <w:rPr>
          <w:b/>
        </w:rPr>
      </w:pPr>
      <w:r w:rsidRPr="00FF45C5">
        <w:rPr>
          <w:b/>
        </w:rPr>
        <w:t>Performance</w:t>
      </w:r>
    </w:p>
    <w:p w14:paraId="5F9C63D9" w14:textId="77777777" w:rsidR="005B403A" w:rsidRPr="00FF45C5" w:rsidRDefault="005B403A" w:rsidP="005B403A"/>
    <w:p w14:paraId="43DB60E2" w14:textId="74599005" w:rsidR="005B403A" w:rsidRPr="00FF45C5" w:rsidRDefault="002D51FF" w:rsidP="00A03686">
      <w:pPr>
        <w:ind w:left="546" w:hanging="546"/>
      </w:pPr>
      <w:r>
        <w:t>8</w:t>
      </w:r>
      <w:r w:rsidR="005B403A" w:rsidRPr="00FF45C5">
        <w:t xml:space="preserve">. </w:t>
      </w:r>
      <w:r w:rsidR="00A03686">
        <w:tab/>
      </w:r>
      <w:r w:rsidR="000654ED">
        <w:t>The model has had a lot of success</w:t>
      </w:r>
      <w:r>
        <w:t xml:space="preserve"> </w:t>
      </w:r>
      <w:r w:rsidR="000654ED">
        <w:t>s</w:t>
      </w:r>
      <w:r w:rsidR="005B403A" w:rsidRPr="00FF45C5">
        <w:t>upporting planned discharges from hospital</w:t>
      </w:r>
      <w:r w:rsidR="005B403A">
        <w:t>s across Oxfordshire</w:t>
      </w:r>
      <w:r>
        <w:t>;</w:t>
      </w:r>
      <w:r w:rsidR="000654ED">
        <w:t xml:space="preserve"> results include</w:t>
      </w:r>
      <w:r w:rsidR="005B403A">
        <w:t>:</w:t>
      </w:r>
    </w:p>
    <w:p w14:paraId="522096E4" w14:textId="77777777" w:rsidR="005B403A" w:rsidRPr="00FF45C5" w:rsidRDefault="005B403A" w:rsidP="005B403A">
      <w:pPr>
        <w:jc w:val="center"/>
        <w:rPr>
          <w:color w:val="FF0000"/>
        </w:rPr>
      </w:pPr>
      <w:r w:rsidRPr="00FF45C5">
        <w:rPr>
          <w:b/>
        </w:rPr>
        <w:t xml:space="preserve"> </w:t>
      </w:r>
    </w:p>
    <w:p w14:paraId="47498C08" w14:textId="546E691A" w:rsidR="005B403A" w:rsidRPr="00FF45C5" w:rsidRDefault="005B403A" w:rsidP="00DD327B">
      <w:pPr>
        <w:pStyle w:val="ListParagraph"/>
        <w:numPr>
          <w:ilvl w:val="0"/>
          <w:numId w:val="7"/>
        </w:numPr>
        <w:tabs>
          <w:tab w:val="left" w:pos="993"/>
        </w:tabs>
        <w:ind w:left="994" w:hanging="454"/>
      </w:pPr>
      <w:r w:rsidRPr="00FF45C5">
        <w:t xml:space="preserve">Step Down and Housing Options services have supported over </w:t>
      </w:r>
      <w:r w:rsidRPr="00DD327B">
        <w:rPr>
          <w:bCs/>
        </w:rPr>
        <w:t>200 planned discharges</w:t>
      </w:r>
      <w:r w:rsidRPr="00FF45C5">
        <w:t xml:space="preserve"> from hospital (50% from Mental Health wards)</w:t>
      </w:r>
    </w:p>
    <w:p w14:paraId="6B8DFBA0" w14:textId="77777777" w:rsidR="005B403A" w:rsidRPr="00FF45C5" w:rsidRDefault="005B403A" w:rsidP="00DD327B">
      <w:pPr>
        <w:pStyle w:val="ListParagraph"/>
        <w:tabs>
          <w:tab w:val="left" w:pos="993"/>
        </w:tabs>
        <w:ind w:left="994" w:hanging="454"/>
      </w:pPr>
    </w:p>
    <w:p w14:paraId="40FB1878" w14:textId="7437241C" w:rsidR="005B403A" w:rsidRDefault="005B403A" w:rsidP="00DD327B">
      <w:pPr>
        <w:pStyle w:val="ListParagraph"/>
        <w:numPr>
          <w:ilvl w:val="0"/>
          <w:numId w:val="7"/>
        </w:numPr>
        <w:tabs>
          <w:tab w:val="left" w:pos="993"/>
        </w:tabs>
        <w:ind w:left="994" w:hanging="454"/>
      </w:pPr>
      <w:r w:rsidRPr="00FF45C5">
        <w:t>Where a discharge has included</w:t>
      </w:r>
      <w:r w:rsidR="002B4889">
        <w:t xml:space="preserve"> a stay in Step Down housing, there has been</w:t>
      </w:r>
      <w:r w:rsidRPr="00FF45C5">
        <w:t xml:space="preserve"> (comparing 12 months prior to and 12 months post-Step Down):</w:t>
      </w:r>
    </w:p>
    <w:p w14:paraId="02713C6A" w14:textId="77777777" w:rsidR="00DD327B" w:rsidRPr="00FF45C5" w:rsidRDefault="00DD327B" w:rsidP="00DD327B">
      <w:pPr>
        <w:tabs>
          <w:tab w:val="left" w:pos="993"/>
        </w:tabs>
        <w:ind w:left="994" w:hanging="454"/>
      </w:pPr>
    </w:p>
    <w:p w14:paraId="7BE68A6F" w14:textId="77777777" w:rsidR="005B403A" w:rsidRPr="00DD327B" w:rsidRDefault="005B403A" w:rsidP="00DD327B">
      <w:pPr>
        <w:pStyle w:val="ListParagraph"/>
        <w:numPr>
          <w:ilvl w:val="1"/>
          <w:numId w:val="7"/>
        </w:numPr>
        <w:tabs>
          <w:tab w:val="left" w:pos="1470"/>
        </w:tabs>
        <w:ind w:left="1372" w:hanging="378"/>
        <w:rPr>
          <w:bCs/>
        </w:rPr>
      </w:pPr>
      <w:r w:rsidRPr="00DD327B">
        <w:rPr>
          <w:bCs/>
        </w:rPr>
        <w:t>24% reduction in emergency hospital admissions</w:t>
      </w:r>
    </w:p>
    <w:p w14:paraId="5659B22B" w14:textId="77777777" w:rsidR="005B403A" w:rsidRPr="00DD327B" w:rsidRDefault="005B403A" w:rsidP="00DD327B">
      <w:pPr>
        <w:pStyle w:val="ListParagraph"/>
        <w:numPr>
          <w:ilvl w:val="1"/>
          <w:numId w:val="7"/>
        </w:numPr>
        <w:tabs>
          <w:tab w:val="left" w:pos="1470"/>
        </w:tabs>
        <w:ind w:left="1372" w:hanging="378"/>
        <w:rPr>
          <w:bCs/>
        </w:rPr>
      </w:pPr>
      <w:r w:rsidRPr="00DD327B">
        <w:rPr>
          <w:bCs/>
        </w:rPr>
        <w:t xml:space="preserve">56% reduction in presentations to Emergency Departments  </w:t>
      </w:r>
    </w:p>
    <w:p w14:paraId="4A15008D" w14:textId="77777777" w:rsidR="005B403A" w:rsidRPr="00FF45C5" w:rsidRDefault="005B403A" w:rsidP="00DD327B">
      <w:pPr>
        <w:pStyle w:val="ListParagraph"/>
        <w:numPr>
          <w:ilvl w:val="1"/>
          <w:numId w:val="7"/>
        </w:numPr>
        <w:tabs>
          <w:tab w:val="left" w:pos="1470"/>
        </w:tabs>
        <w:ind w:left="1372" w:hanging="378"/>
      </w:pPr>
      <w:r w:rsidRPr="00DD327B">
        <w:rPr>
          <w:bCs/>
        </w:rPr>
        <w:t>155% increase in Outpatient visits</w:t>
      </w:r>
      <w:r w:rsidRPr="00FF45C5">
        <w:t xml:space="preserve"> (evidence of ongoing engagement with planned treatment in community)</w:t>
      </w:r>
    </w:p>
    <w:p w14:paraId="22C2EE67" w14:textId="77777777" w:rsidR="005B403A" w:rsidRPr="00FF45C5" w:rsidRDefault="005B403A" w:rsidP="00DD327B">
      <w:pPr>
        <w:pStyle w:val="ListParagraph"/>
        <w:tabs>
          <w:tab w:val="left" w:pos="993"/>
        </w:tabs>
        <w:ind w:left="994" w:hanging="454"/>
      </w:pPr>
    </w:p>
    <w:p w14:paraId="2B409C58" w14:textId="24694376" w:rsidR="005B403A" w:rsidRPr="00FF45C5" w:rsidRDefault="005B403A" w:rsidP="00DD327B">
      <w:pPr>
        <w:pStyle w:val="ListParagraph"/>
        <w:numPr>
          <w:ilvl w:val="0"/>
          <w:numId w:val="7"/>
        </w:numPr>
        <w:tabs>
          <w:tab w:val="left" w:pos="993"/>
        </w:tabs>
        <w:ind w:left="994" w:hanging="454"/>
      </w:pPr>
      <w:r w:rsidRPr="00DD327B">
        <w:rPr>
          <w:bCs/>
        </w:rPr>
        <w:t>89% reduction in Mental Health bed days</w:t>
      </w:r>
      <w:r w:rsidRPr="00FF45C5">
        <w:t xml:space="preserve"> </w:t>
      </w:r>
      <w:proofErr w:type="gramStart"/>
      <w:r w:rsidRPr="00FF45C5">
        <w:t>at</w:t>
      </w:r>
      <w:proofErr w:type="gramEnd"/>
      <w:r w:rsidRPr="00FF45C5">
        <w:t xml:space="preserve"> December 20</w:t>
      </w:r>
      <w:r>
        <w:t>21</w:t>
      </w:r>
    </w:p>
    <w:p w14:paraId="68BA94E9" w14:textId="77777777" w:rsidR="005B403A" w:rsidRPr="00FF45C5" w:rsidRDefault="005B403A" w:rsidP="00DD327B">
      <w:pPr>
        <w:pStyle w:val="ListParagraph"/>
        <w:tabs>
          <w:tab w:val="left" w:pos="993"/>
        </w:tabs>
        <w:ind w:left="994" w:hanging="454"/>
      </w:pPr>
    </w:p>
    <w:p w14:paraId="58EFB0A5" w14:textId="64C90312" w:rsidR="005B403A" w:rsidRPr="00FF45C5" w:rsidRDefault="005B403A" w:rsidP="00DD327B">
      <w:pPr>
        <w:pStyle w:val="ListParagraph"/>
        <w:numPr>
          <w:ilvl w:val="0"/>
          <w:numId w:val="7"/>
        </w:numPr>
        <w:tabs>
          <w:tab w:val="left" w:pos="993"/>
        </w:tabs>
        <w:ind w:left="994" w:hanging="454"/>
      </w:pPr>
      <w:r w:rsidRPr="00FF45C5">
        <w:t xml:space="preserve">Number of </w:t>
      </w:r>
      <w:r w:rsidRPr="00DD327B">
        <w:rPr>
          <w:bCs/>
        </w:rPr>
        <w:t>'stranded' patients</w:t>
      </w:r>
      <w:r w:rsidRPr="00FF45C5">
        <w:t xml:space="preserve"> on M</w:t>
      </w:r>
      <w:r w:rsidR="002E384F">
        <w:t xml:space="preserve">ental Health </w:t>
      </w:r>
      <w:r w:rsidRPr="00FF45C5">
        <w:t>wards was stati</w:t>
      </w:r>
      <w:r w:rsidR="002E384F">
        <w:t>c at around 14-18 prior to OOHC</w:t>
      </w:r>
      <w:r w:rsidRPr="00FF45C5">
        <w:t xml:space="preserve">; the monthly average is now around </w:t>
      </w:r>
      <w:r w:rsidRPr="00DD327B">
        <w:rPr>
          <w:bCs/>
        </w:rPr>
        <w:t xml:space="preserve">one </w:t>
      </w:r>
      <w:proofErr w:type="gramStart"/>
      <w:r w:rsidRPr="00DD327B">
        <w:rPr>
          <w:bCs/>
        </w:rPr>
        <w:t>person</w:t>
      </w:r>
      <w:proofErr w:type="gramEnd"/>
    </w:p>
    <w:p w14:paraId="7E588966" w14:textId="77777777" w:rsidR="005B403A" w:rsidRPr="00FF45C5" w:rsidRDefault="005B403A" w:rsidP="00DD327B">
      <w:pPr>
        <w:pStyle w:val="ListParagraph"/>
        <w:tabs>
          <w:tab w:val="left" w:pos="993"/>
        </w:tabs>
        <w:ind w:left="994" w:hanging="454"/>
      </w:pPr>
    </w:p>
    <w:p w14:paraId="259BF7A1" w14:textId="1B8195EB" w:rsidR="005B403A" w:rsidRPr="00FF45C5" w:rsidRDefault="005B403A" w:rsidP="00DD327B">
      <w:pPr>
        <w:pStyle w:val="ListParagraph"/>
        <w:numPr>
          <w:ilvl w:val="0"/>
          <w:numId w:val="7"/>
        </w:numPr>
        <w:tabs>
          <w:tab w:val="left" w:pos="993"/>
        </w:tabs>
        <w:ind w:left="994" w:hanging="454"/>
      </w:pPr>
      <w:r w:rsidRPr="00FF45C5">
        <w:lastRenderedPageBreak/>
        <w:t xml:space="preserve">The </w:t>
      </w:r>
      <w:r w:rsidRPr="00DD327B">
        <w:rPr>
          <w:bCs/>
        </w:rPr>
        <w:t>average length of stay</w:t>
      </w:r>
      <w:r w:rsidR="002B4889">
        <w:t xml:space="preserve"> in the </w:t>
      </w:r>
      <w:proofErr w:type="gramStart"/>
      <w:r w:rsidRPr="00FF45C5">
        <w:t>Step Down</w:t>
      </w:r>
      <w:proofErr w:type="gramEnd"/>
      <w:r w:rsidRPr="00FF45C5">
        <w:t xml:space="preserve"> service is </w:t>
      </w:r>
      <w:r w:rsidRPr="00DD327B">
        <w:rPr>
          <w:bCs/>
        </w:rPr>
        <w:t>28 days</w:t>
      </w:r>
      <w:r w:rsidRPr="00FF45C5">
        <w:t xml:space="preserve"> (national average is 105) - evidence of good throughput and generating capacity</w:t>
      </w:r>
    </w:p>
    <w:p w14:paraId="6B77B2C7" w14:textId="77777777" w:rsidR="005B403A" w:rsidRPr="00FF45C5" w:rsidRDefault="005B403A" w:rsidP="00DD327B">
      <w:pPr>
        <w:pStyle w:val="ListParagraph"/>
        <w:tabs>
          <w:tab w:val="left" w:pos="993"/>
        </w:tabs>
        <w:ind w:left="994" w:hanging="454"/>
      </w:pPr>
    </w:p>
    <w:p w14:paraId="6A126D95" w14:textId="77777777" w:rsidR="005B403A" w:rsidRPr="00FF45C5" w:rsidRDefault="005B403A" w:rsidP="00DD327B">
      <w:pPr>
        <w:pStyle w:val="ListParagraph"/>
        <w:numPr>
          <w:ilvl w:val="0"/>
          <w:numId w:val="7"/>
        </w:numPr>
        <w:tabs>
          <w:tab w:val="left" w:pos="993"/>
        </w:tabs>
        <w:ind w:left="994" w:hanging="454"/>
      </w:pPr>
      <w:r w:rsidRPr="00FF45C5">
        <w:t xml:space="preserve">22% of people in Step Down had been rough sleeping prior to entering hospital; only </w:t>
      </w:r>
      <w:r w:rsidRPr="00DD327B">
        <w:rPr>
          <w:bCs/>
        </w:rPr>
        <w:t>one person returned to rough sleeping</w:t>
      </w:r>
      <w:r w:rsidRPr="00FF45C5">
        <w:t xml:space="preserve"> (national average is 20%) and zero new rough </w:t>
      </w:r>
      <w:proofErr w:type="gramStart"/>
      <w:r w:rsidRPr="00FF45C5">
        <w:t>sleeping</w:t>
      </w:r>
      <w:proofErr w:type="gramEnd"/>
    </w:p>
    <w:p w14:paraId="6002DF8B" w14:textId="77777777" w:rsidR="005B403A" w:rsidRPr="00FF45C5" w:rsidRDefault="005B403A" w:rsidP="00DD327B">
      <w:pPr>
        <w:pStyle w:val="ListParagraph"/>
        <w:tabs>
          <w:tab w:val="left" w:pos="993"/>
        </w:tabs>
        <w:ind w:left="994" w:hanging="454"/>
      </w:pPr>
    </w:p>
    <w:p w14:paraId="6946BF58" w14:textId="76BB7F05" w:rsidR="005B403A" w:rsidRDefault="002B4889" w:rsidP="00DD327B">
      <w:pPr>
        <w:pStyle w:val="ListParagraph"/>
        <w:numPr>
          <w:ilvl w:val="0"/>
          <w:numId w:val="7"/>
        </w:numPr>
        <w:tabs>
          <w:tab w:val="left" w:pos="993"/>
        </w:tabs>
        <w:ind w:left="994" w:hanging="454"/>
      </w:pPr>
      <w:r>
        <w:t>The OOHC team</w:t>
      </w:r>
      <w:r w:rsidR="005B403A" w:rsidRPr="00FF45C5">
        <w:t xml:space="preserve"> has been rated as the </w:t>
      </w:r>
      <w:r w:rsidR="005B403A" w:rsidRPr="00DD327B">
        <w:rPr>
          <w:bCs/>
        </w:rPr>
        <w:t>national exemplar</w:t>
      </w:r>
      <w:r w:rsidR="005B403A" w:rsidRPr="00FF45C5">
        <w:rPr>
          <w:b/>
        </w:rPr>
        <w:t xml:space="preserve"> </w:t>
      </w:r>
      <w:r w:rsidR="005B403A" w:rsidRPr="00FF45C5">
        <w:t xml:space="preserve">for genuine </w:t>
      </w:r>
      <w:r w:rsidR="005B403A" w:rsidRPr="00DD327B">
        <w:rPr>
          <w:bCs/>
        </w:rPr>
        <w:t>coproduction and involvement of lived experience</w:t>
      </w:r>
      <w:r w:rsidR="005B403A" w:rsidRPr="00FF45C5">
        <w:rPr>
          <w:b/>
        </w:rPr>
        <w:t xml:space="preserve"> </w:t>
      </w:r>
      <w:r w:rsidR="005B403A" w:rsidRPr="00FF45C5">
        <w:t>by King's College London</w:t>
      </w:r>
      <w:r w:rsidR="002E384F">
        <w:t>.</w:t>
      </w:r>
    </w:p>
    <w:p w14:paraId="5D446E11" w14:textId="77777777" w:rsidR="00DD327B" w:rsidRDefault="00DD327B" w:rsidP="00DD327B">
      <w:pPr>
        <w:pStyle w:val="ListParagraph"/>
      </w:pPr>
    </w:p>
    <w:p w14:paraId="1204CD4B" w14:textId="77777777" w:rsidR="00DD327B" w:rsidRPr="00FF45C5" w:rsidRDefault="00DD327B" w:rsidP="00DD327B">
      <w:pPr>
        <w:pStyle w:val="ListParagraph"/>
      </w:pPr>
    </w:p>
    <w:p w14:paraId="05B13872" w14:textId="5A126B9A" w:rsidR="005B403A" w:rsidRPr="00FF45C5" w:rsidRDefault="002D51FF" w:rsidP="00F35277">
      <w:pPr>
        <w:tabs>
          <w:tab w:val="left" w:pos="518"/>
        </w:tabs>
      </w:pPr>
      <w:r>
        <w:t>9</w:t>
      </w:r>
      <w:r w:rsidR="005B403A" w:rsidRPr="00FF45C5">
        <w:t xml:space="preserve">. </w:t>
      </w:r>
      <w:r w:rsidR="00F35277">
        <w:tab/>
      </w:r>
      <w:r w:rsidR="000654ED">
        <w:t xml:space="preserve">The model has also </w:t>
      </w:r>
      <w:r>
        <w:t xml:space="preserve">prevented </w:t>
      </w:r>
      <w:r w:rsidR="005B403A" w:rsidRPr="00FF45C5">
        <w:t>hospital admissions and rough sleeping</w:t>
      </w:r>
      <w:r w:rsidR="005B403A">
        <w:t>:</w:t>
      </w:r>
    </w:p>
    <w:p w14:paraId="7ACF1725" w14:textId="77777777" w:rsidR="005B403A" w:rsidRPr="00FF45C5" w:rsidRDefault="005B403A" w:rsidP="005B403A"/>
    <w:p w14:paraId="75B7ED4F" w14:textId="1D59EEC6" w:rsidR="005B403A" w:rsidRPr="00FF45C5" w:rsidRDefault="002B4889" w:rsidP="00F35277">
      <w:pPr>
        <w:pStyle w:val="ListParagraph"/>
        <w:numPr>
          <w:ilvl w:val="0"/>
          <w:numId w:val="2"/>
        </w:numPr>
        <w:ind w:left="980" w:hanging="462"/>
      </w:pPr>
      <w:r>
        <w:t>The</w:t>
      </w:r>
      <w:r w:rsidR="005B403A" w:rsidRPr="00FF45C5">
        <w:t xml:space="preserve"> preventative, Step Up team of Social Worker, Psychologist and Embedded Mental Health Workers have supported 135 individuals in the community, of those:</w:t>
      </w:r>
    </w:p>
    <w:p w14:paraId="2C17EE1B" w14:textId="77777777" w:rsidR="005B403A" w:rsidRPr="00FF45C5" w:rsidRDefault="005B403A" w:rsidP="005B403A">
      <w:pPr>
        <w:pStyle w:val="ListParagraph"/>
      </w:pPr>
    </w:p>
    <w:p w14:paraId="2D1645C5" w14:textId="0FB6DCD2" w:rsidR="005B403A" w:rsidRPr="00FF45C5" w:rsidRDefault="005B403A" w:rsidP="00F35277">
      <w:pPr>
        <w:pStyle w:val="ListParagraph"/>
        <w:numPr>
          <w:ilvl w:val="1"/>
          <w:numId w:val="2"/>
        </w:numPr>
        <w:ind w:hanging="460"/>
      </w:pPr>
      <w:r w:rsidRPr="00F35277">
        <w:rPr>
          <w:bCs/>
        </w:rPr>
        <w:t>44 have remained out of hospital</w:t>
      </w:r>
      <w:r w:rsidRPr="00FF45C5">
        <w:rPr>
          <w:b/>
        </w:rPr>
        <w:t xml:space="preserve"> </w:t>
      </w:r>
      <w:r w:rsidRPr="00FF45C5">
        <w:t>(both M</w:t>
      </w:r>
      <w:r w:rsidR="002E384F">
        <w:t xml:space="preserve">ental Health </w:t>
      </w:r>
      <w:r w:rsidRPr="00FF45C5">
        <w:t>and Acute), breaking historic cycles of re</w:t>
      </w:r>
      <w:r w:rsidR="00F35277">
        <w:t>-</w:t>
      </w:r>
      <w:proofErr w:type="gramStart"/>
      <w:r w:rsidRPr="00FF45C5">
        <w:t>admission;</w:t>
      </w:r>
      <w:proofErr w:type="gramEnd"/>
    </w:p>
    <w:p w14:paraId="4A7F66BD" w14:textId="77777777" w:rsidR="005B403A" w:rsidRPr="00FF45C5" w:rsidRDefault="005B403A" w:rsidP="00F35277">
      <w:pPr>
        <w:pStyle w:val="ListParagraph"/>
        <w:ind w:left="1440" w:hanging="460"/>
      </w:pPr>
    </w:p>
    <w:p w14:paraId="14954824" w14:textId="77777777" w:rsidR="005B403A" w:rsidRPr="00FF45C5" w:rsidRDefault="005B403A" w:rsidP="00F35277">
      <w:pPr>
        <w:pStyle w:val="ListParagraph"/>
        <w:numPr>
          <w:ilvl w:val="1"/>
          <w:numId w:val="2"/>
        </w:numPr>
        <w:ind w:hanging="460"/>
      </w:pPr>
      <w:r w:rsidRPr="00F35277">
        <w:rPr>
          <w:bCs/>
        </w:rPr>
        <w:t>59 have seen an increase in elective engagement with healthcare</w:t>
      </w:r>
      <w:r w:rsidRPr="00FF45C5">
        <w:t xml:space="preserve"> and other treatments (inc. for substance issues</w:t>
      </w:r>
      <w:proofErr w:type="gramStart"/>
      <w:r w:rsidRPr="00FF45C5">
        <w:t>);</w:t>
      </w:r>
      <w:proofErr w:type="gramEnd"/>
    </w:p>
    <w:p w14:paraId="3DFD3AA3" w14:textId="77777777" w:rsidR="005B403A" w:rsidRPr="00FF45C5" w:rsidRDefault="005B403A" w:rsidP="00F35277">
      <w:pPr>
        <w:pStyle w:val="ListParagraph"/>
        <w:ind w:left="1440" w:hanging="460"/>
      </w:pPr>
    </w:p>
    <w:p w14:paraId="36BF437A" w14:textId="77777777" w:rsidR="005B403A" w:rsidRPr="00FF45C5" w:rsidRDefault="005B403A" w:rsidP="00F35277">
      <w:pPr>
        <w:pStyle w:val="ListParagraph"/>
        <w:numPr>
          <w:ilvl w:val="1"/>
          <w:numId w:val="2"/>
        </w:numPr>
        <w:ind w:hanging="460"/>
      </w:pPr>
      <w:r w:rsidRPr="00F35277">
        <w:rPr>
          <w:bCs/>
        </w:rPr>
        <w:t>50 have maintained their accommodation</w:t>
      </w:r>
      <w:r w:rsidRPr="00FF45C5">
        <w:t xml:space="preserve"> where they had been at acute risk of eviction and homelessness.</w:t>
      </w:r>
    </w:p>
    <w:p w14:paraId="628C6500" w14:textId="77777777" w:rsidR="005B403A" w:rsidRPr="00FF45C5" w:rsidRDefault="005B403A" w:rsidP="005B403A">
      <w:pPr>
        <w:pStyle w:val="ListParagraph"/>
      </w:pPr>
    </w:p>
    <w:p w14:paraId="377B43B4" w14:textId="77777777" w:rsidR="005B403A" w:rsidRDefault="005B403A" w:rsidP="005B403A">
      <w:pPr>
        <w:pStyle w:val="ListParagraph"/>
        <w:rPr>
          <w:b/>
          <w:sz w:val="22"/>
          <w:szCs w:val="22"/>
        </w:rPr>
      </w:pPr>
    </w:p>
    <w:p w14:paraId="7CE539E7" w14:textId="77777777" w:rsidR="005B403A" w:rsidRPr="00655E3C" w:rsidRDefault="005B403A" w:rsidP="005B403A">
      <w:pPr>
        <w:rPr>
          <w:b/>
        </w:rPr>
      </w:pPr>
      <w:r w:rsidRPr="00655E3C">
        <w:rPr>
          <w:b/>
        </w:rPr>
        <w:t xml:space="preserve">Reasons to </w:t>
      </w:r>
      <w:proofErr w:type="gramStart"/>
      <w:r w:rsidRPr="00655E3C">
        <w:rPr>
          <w:b/>
        </w:rPr>
        <w:t>continue</w:t>
      </w:r>
      <w:proofErr w:type="gramEnd"/>
      <w:r w:rsidRPr="00655E3C">
        <w:rPr>
          <w:b/>
        </w:rPr>
        <w:t xml:space="preserve"> </w:t>
      </w:r>
    </w:p>
    <w:p w14:paraId="00EB5081" w14:textId="77777777" w:rsidR="005B403A" w:rsidRDefault="005B403A" w:rsidP="005B403A"/>
    <w:p w14:paraId="5E7C0275" w14:textId="017C3990" w:rsidR="005B403A" w:rsidRPr="00FF45C5" w:rsidRDefault="002D51FF" w:rsidP="00F0079B">
      <w:pPr>
        <w:ind w:left="532" w:hanging="532"/>
      </w:pPr>
      <w:r>
        <w:t>10</w:t>
      </w:r>
      <w:r w:rsidR="005B403A">
        <w:t xml:space="preserve">. </w:t>
      </w:r>
      <w:r w:rsidR="00F0079B">
        <w:tab/>
      </w:r>
      <w:r w:rsidR="005B403A">
        <w:t>T</w:t>
      </w:r>
      <w:r w:rsidR="005B403A" w:rsidRPr="00FF45C5">
        <w:t xml:space="preserve">he </w:t>
      </w:r>
      <w:r w:rsidR="00FA0F89">
        <w:t xml:space="preserve">OOHCM </w:t>
      </w:r>
      <w:r w:rsidR="005B403A" w:rsidRPr="00FF45C5">
        <w:t>is enabling the local system to deliver, or make progress towards delivering, several strategic aims and intentions. Whether that is the county-wide Homelessness Strategy, NHS long-term pla</w:t>
      </w:r>
      <w:r w:rsidR="003D3E07">
        <w:t xml:space="preserve">n or BCF </w:t>
      </w:r>
      <w:proofErr w:type="gramStart"/>
      <w:r w:rsidR="003D3E07">
        <w:t>two year</w:t>
      </w:r>
      <w:proofErr w:type="gramEnd"/>
      <w:r w:rsidR="003D3E07">
        <w:t xml:space="preserve"> local plan, it is </w:t>
      </w:r>
      <w:r w:rsidR="005B403A" w:rsidRPr="00FF45C5">
        <w:t>consistently:</w:t>
      </w:r>
    </w:p>
    <w:p w14:paraId="5677390A" w14:textId="77777777" w:rsidR="005B403A" w:rsidRPr="00FF45C5" w:rsidRDefault="005B403A" w:rsidP="005B403A"/>
    <w:p w14:paraId="36D42793" w14:textId="026BA998" w:rsidR="005B403A" w:rsidRPr="00FF45C5" w:rsidRDefault="2C3EBC8E" w:rsidP="00F0079B">
      <w:pPr>
        <w:pStyle w:val="ListParagraph"/>
        <w:numPr>
          <w:ilvl w:val="0"/>
          <w:numId w:val="29"/>
        </w:numPr>
        <w:ind w:left="952" w:hanging="420"/>
      </w:pPr>
      <w:r>
        <w:t>Facilitating timely, sustained discharges from hospitals, with robust D</w:t>
      </w:r>
      <w:r w:rsidR="002E384F">
        <w:t xml:space="preserve">ischarge to Assess (D2A) </w:t>
      </w:r>
      <w:r>
        <w:t>protocols, which are in turn leading to improved engagement with community services and a reduction in hospital presentations, re-</w:t>
      </w:r>
      <w:proofErr w:type="gramStart"/>
      <w:r>
        <w:t>admissions</w:t>
      </w:r>
      <w:proofErr w:type="gramEnd"/>
      <w:r>
        <w:t xml:space="preserve"> and rough sleeping.</w:t>
      </w:r>
    </w:p>
    <w:p w14:paraId="03FEFE4F" w14:textId="77777777" w:rsidR="005B403A" w:rsidRPr="00FF45C5" w:rsidRDefault="005B403A" w:rsidP="00F0079B">
      <w:pPr>
        <w:pStyle w:val="ListParagraph"/>
        <w:ind w:left="952" w:hanging="420"/>
      </w:pPr>
    </w:p>
    <w:p w14:paraId="686ED03F" w14:textId="77777777" w:rsidR="005B403A" w:rsidRPr="00FF45C5" w:rsidRDefault="005B403A" w:rsidP="00F0079B">
      <w:pPr>
        <w:pStyle w:val="ListParagraph"/>
        <w:numPr>
          <w:ilvl w:val="0"/>
          <w:numId w:val="29"/>
        </w:numPr>
        <w:ind w:left="952" w:hanging="420"/>
      </w:pPr>
      <w:r w:rsidRPr="00FF45C5">
        <w:t>Removing barriers to accessing mainstream services in the community and reducing health and other inequalities.</w:t>
      </w:r>
    </w:p>
    <w:p w14:paraId="7E37FFE3" w14:textId="77777777" w:rsidR="005B403A" w:rsidRPr="00FF45C5" w:rsidRDefault="005B403A" w:rsidP="00F0079B">
      <w:pPr>
        <w:pStyle w:val="ListParagraph"/>
        <w:ind w:left="952" w:hanging="420"/>
      </w:pPr>
    </w:p>
    <w:p w14:paraId="4560A319" w14:textId="77777777" w:rsidR="005B403A" w:rsidRPr="00FF45C5" w:rsidRDefault="005B403A" w:rsidP="00F0079B">
      <w:pPr>
        <w:pStyle w:val="ListParagraph"/>
        <w:numPr>
          <w:ilvl w:val="0"/>
          <w:numId w:val="29"/>
        </w:numPr>
        <w:ind w:left="952" w:hanging="420"/>
      </w:pPr>
      <w:r w:rsidRPr="00FF45C5">
        <w:t xml:space="preserve">Promoting, </w:t>
      </w:r>
      <w:proofErr w:type="gramStart"/>
      <w:r w:rsidRPr="00FF45C5">
        <w:t>facilitating</w:t>
      </w:r>
      <w:proofErr w:type="gramEnd"/>
      <w:r w:rsidRPr="00FF45C5">
        <w:t xml:space="preserve"> and modelling genuine partnership working and an integrated approach between health, care and other system partners.</w:t>
      </w:r>
    </w:p>
    <w:p w14:paraId="275DC4D5" w14:textId="77777777" w:rsidR="005B403A" w:rsidRPr="00FF45C5" w:rsidRDefault="005B403A" w:rsidP="005B403A"/>
    <w:p w14:paraId="5354F58C" w14:textId="3E7D9A94" w:rsidR="005B403A" w:rsidRDefault="00A01080" w:rsidP="00F0079B">
      <w:pPr>
        <w:ind w:left="546" w:hanging="546"/>
      </w:pPr>
      <w:r>
        <w:t xml:space="preserve">11. </w:t>
      </w:r>
      <w:r w:rsidR="00F0079B">
        <w:tab/>
      </w:r>
      <w:r w:rsidR="003D3E07">
        <w:t xml:space="preserve">It is </w:t>
      </w:r>
      <w:r w:rsidR="005B403A" w:rsidRPr="00FF45C5">
        <w:t xml:space="preserve">out-performing other OOHC test sites on most of the metrics employed by King's College, London </w:t>
      </w:r>
      <w:r w:rsidR="005B403A" w:rsidRPr="002E384F">
        <w:t>in their evaluation and ha</w:t>
      </w:r>
      <w:r w:rsidR="002E384F" w:rsidRPr="002E384F">
        <w:t>s</w:t>
      </w:r>
      <w:r w:rsidR="005B403A" w:rsidRPr="002E384F">
        <w:t xml:space="preserve"> been cited in several recognised studies (</w:t>
      </w:r>
      <w:r w:rsidR="002E384F">
        <w:t xml:space="preserve">by </w:t>
      </w:r>
      <w:r w:rsidR="005B403A" w:rsidRPr="002E384F">
        <w:t>KCL, Homeless Link, L</w:t>
      </w:r>
      <w:r w:rsidR="002E384F" w:rsidRPr="002E384F">
        <w:t xml:space="preserve">ocal Government Association, Directors of Adult Social Services) </w:t>
      </w:r>
      <w:r w:rsidR="005B403A" w:rsidRPr="002E384F">
        <w:t>as exemplifying excellent practice.</w:t>
      </w:r>
    </w:p>
    <w:p w14:paraId="36C40A77" w14:textId="77777777" w:rsidR="003D3E07" w:rsidRDefault="003D3E07" w:rsidP="00F0079B">
      <w:pPr>
        <w:ind w:left="546" w:hanging="546"/>
      </w:pPr>
    </w:p>
    <w:p w14:paraId="1E0F648A" w14:textId="739FF93A" w:rsidR="003D3E07" w:rsidRPr="00FF45C5" w:rsidRDefault="00A01080" w:rsidP="00F0079B">
      <w:pPr>
        <w:ind w:left="546" w:hanging="546"/>
      </w:pPr>
      <w:r>
        <w:lastRenderedPageBreak/>
        <w:t xml:space="preserve">12. </w:t>
      </w:r>
      <w:r w:rsidR="00F0079B">
        <w:tab/>
      </w:r>
      <w:r w:rsidR="003D3E07">
        <w:t>It is also having a significant and positive impact on the lives of people facing multiple exclusions and deprivations (see appendix 3 and 4).</w:t>
      </w:r>
    </w:p>
    <w:p w14:paraId="7D5CD159" w14:textId="77777777" w:rsidR="005B403A" w:rsidRDefault="005B403A" w:rsidP="00F0079B">
      <w:pPr>
        <w:ind w:left="546" w:hanging="546"/>
      </w:pPr>
    </w:p>
    <w:p w14:paraId="41167FC2" w14:textId="5B2921A0" w:rsidR="005B403A" w:rsidRPr="00FF45C5" w:rsidRDefault="00A01080" w:rsidP="00F0079B">
      <w:pPr>
        <w:ind w:left="546" w:hanging="546"/>
      </w:pPr>
      <w:r>
        <w:t>13</w:t>
      </w:r>
      <w:r w:rsidR="005B403A" w:rsidRPr="00FF45C5">
        <w:t xml:space="preserve">. </w:t>
      </w:r>
      <w:r w:rsidR="00F0079B">
        <w:tab/>
      </w:r>
      <w:r w:rsidR="005B403A" w:rsidRPr="00FF45C5">
        <w:t xml:space="preserve">The evidence for </w:t>
      </w:r>
      <w:r w:rsidR="003D3E07">
        <w:t>continuing the OOHC model</w:t>
      </w:r>
      <w:r w:rsidR="005B403A" w:rsidRPr="00FF45C5">
        <w:t xml:space="preserve"> is strong and has been well-established in various studies and government guidance:</w:t>
      </w:r>
    </w:p>
    <w:p w14:paraId="1730146A" w14:textId="77777777" w:rsidR="005B403A" w:rsidRPr="00FF45C5" w:rsidRDefault="005B403A" w:rsidP="005B403A"/>
    <w:p w14:paraId="2A8BDF4E" w14:textId="53FBE532" w:rsidR="005B403A" w:rsidRDefault="005B403A" w:rsidP="00F0079B">
      <w:pPr>
        <w:pStyle w:val="ListParagraph"/>
        <w:numPr>
          <w:ilvl w:val="0"/>
          <w:numId w:val="2"/>
        </w:numPr>
        <w:ind w:left="938" w:hanging="406"/>
      </w:pPr>
      <w:r w:rsidRPr="00FF45C5">
        <w:t>2015 - 2021 - KCL and London School of Economics evaluation of 'standard' vs 'specialist' hospital discharge arrangements:</w:t>
      </w:r>
    </w:p>
    <w:p w14:paraId="0194827D" w14:textId="77777777" w:rsidR="00F0079B" w:rsidRPr="00FF45C5" w:rsidRDefault="00F0079B" w:rsidP="00F0079B">
      <w:pPr>
        <w:pStyle w:val="ListParagraph"/>
      </w:pPr>
    </w:p>
    <w:p w14:paraId="53028109" w14:textId="77777777" w:rsidR="005B403A" w:rsidRPr="00FF45C5" w:rsidRDefault="005B403A" w:rsidP="005B403A">
      <w:pPr>
        <w:pStyle w:val="ListParagraph"/>
        <w:numPr>
          <w:ilvl w:val="1"/>
          <w:numId w:val="2"/>
        </w:numPr>
      </w:pPr>
      <w:r w:rsidRPr="00FF45C5">
        <w:t>'NHS Trusts with specialist homeless hospital discharge teams had lower rates of Delayed Transfers of Care linked to ‘Housing’ than standard care</w:t>
      </w:r>
      <w:proofErr w:type="gramStart"/>
      <w:r w:rsidRPr="00FF45C5">
        <w:t>';</w:t>
      </w:r>
      <w:proofErr w:type="gramEnd"/>
    </w:p>
    <w:p w14:paraId="221D1DF9" w14:textId="77777777" w:rsidR="005B403A" w:rsidRPr="00FF45C5" w:rsidRDefault="005B403A" w:rsidP="005B403A">
      <w:pPr>
        <w:pStyle w:val="ListParagraph"/>
        <w:ind w:left="1440"/>
      </w:pPr>
      <w:r w:rsidRPr="00FF45C5">
        <w:t xml:space="preserve"> </w:t>
      </w:r>
    </w:p>
    <w:p w14:paraId="52139BEB" w14:textId="77777777" w:rsidR="005B403A" w:rsidRPr="00FF45C5" w:rsidRDefault="005B403A" w:rsidP="005B403A">
      <w:pPr>
        <w:pStyle w:val="ListParagraph"/>
        <w:numPr>
          <w:ilvl w:val="1"/>
          <w:numId w:val="2"/>
        </w:numPr>
      </w:pPr>
      <w:r w:rsidRPr="00FF45C5">
        <w:t>'Specialist out-of-hospital care arrangements were consistently more effective and cost-effective than standard care</w:t>
      </w:r>
      <w:proofErr w:type="gramStart"/>
      <w:r w:rsidRPr="00FF45C5">
        <w:t>';</w:t>
      </w:r>
      <w:proofErr w:type="gramEnd"/>
    </w:p>
    <w:p w14:paraId="555164A1" w14:textId="77777777" w:rsidR="005B403A" w:rsidRPr="00FF45C5" w:rsidRDefault="005B403A" w:rsidP="005B403A">
      <w:pPr>
        <w:pStyle w:val="ListParagraph"/>
        <w:ind w:left="1440"/>
      </w:pPr>
    </w:p>
    <w:p w14:paraId="2E8E61A9" w14:textId="77777777" w:rsidR="005B403A" w:rsidRPr="00FF45C5" w:rsidRDefault="005B403A" w:rsidP="005B403A">
      <w:pPr>
        <w:pStyle w:val="ListParagraph"/>
        <w:numPr>
          <w:ilvl w:val="1"/>
          <w:numId w:val="2"/>
        </w:numPr>
      </w:pPr>
      <w:r w:rsidRPr="00FF45C5">
        <w:t xml:space="preserve">'Out-of-hospital care models that encompassed a homeless hospital discharge team </w:t>
      </w:r>
      <w:r w:rsidRPr="00F0079B">
        <w:t>PLUS</w:t>
      </w:r>
      <w:r w:rsidRPr="00FF45C5">
        <w:rPr>
          <w:b/>
          <w:bCs/>
        </w:rPr>
        <w:t xml:space="preserve"> </w:t>
      </w:r>
      <w:r w:rsidRPr="00FF45C5">
        <w:t xml:space="preserve">direct access to a specialist step-down service were more effective and cost-effective than other </w:t>
      </w:r>
      <w:proofErr w:type="gramStart"/>
      <w:r w:rsidRPr="00FF45C5">
        <w:t>models</w:t>
      </w:r>
      <w:proofErr w:type="gramEnd"/>
      <w:r w:rsidRPr="00FF45C5">
        <w:t xml:space="preserve">' </w:t>
      </w:r>
    </w:p>
    <w:p w14:paraId="3E4B378E" w14:textId="77777777" w:rsidR="005B403A" w:rsidRPr="00FF45C5" w:rsidRDefault="005B403A" w:rsidP="005B403A">
      <w:pPr>
        <w:pStyle w:val="ListParagraph"/>
      </w:pPr>
    </w:p>
    <w:p w14:paraId="669F1A7A" w14:textId="248AA367" w:rsidR="005B403A" w:rsidRDefault="005B403A" w:rsidP="00F0079B">
      <w:pPr>
        <w:pStyle w:val="ListParagraph"/>
        <w:numPr>
          <w:ilvl w:val="0"/>
          <w:numId w:val="2"/>
        </w:numPr>
        <w:ind w:left="952" w:hanging="392"/>
      </w:pPr>
      <w:r w:rsidRPr="00FF45C5">
        <w:t>March 2022 - National Institute for Health and Care Excellence (NICE) Guideline:</w:t>
      </w:r>
    </w:p>
    <w:p w14:paraId="75AB5C4A" w14:textId="77777777" w:rsidR="00F0079B" w:rsidRPr="00FF45C5" w:rsidRDefault="00F0079B" w:rsidP="00F0079B">
      <w:pPr>
        <w:pStyle w:val="ListParagraph"/>
      </w:pPr>
    </w:p>
    <w:p w14:paraId="00C796A3" w14:textId="77777777" w:rsidR="005B403A" w:rsidRPr="00FF45C5" w:rsidRDefault="005B403A" w:rsidP="005B403A">
      <w:pPr>
        <w:pStyle w:val="ListParagraph"/>
        <w:numPr>
          <w:ilvl w:val="1"/>
          <w:numId w:val="2"/>
        </w:numPr>
      </w:pPr>
      <w:r w:rsidRPr="00FF45C5">
        <w:t xml:space="preserve">'…providing such services would help </w:t>
      </w:r>
      <w:r w:rsidRPr="00F0079B">
        <w:rPr>
          <w:bCs/>
        </w:rPr>
        <w:t>avoid hospital admissions and ensure safe and timely discharge</w:t>
      </w:r>
      <w:r w:rsidRPr="00FF45C5">
        <w:t xml:space="preserve">. Intermediate care can also </w:t>
      </w:r>
      <w:r w:rsidRPr="00F0079B">
        <w:rPr>
          <w:bCs/>
        </w:rPr>
        <w:t>prevent or shorten expensive inpatient care</w:t>
      </w:r>
      <w:r w:rsidRPr="00FF45C5">
        <w:t xml:space="preserve"> and provide appropriate care and support to people in need of more intense support than would otherwise be provided in the community.'</w:t>
      </w:r>
    </w:p>
    <w:p w14:paraId="03EA964D" w14:textId="77777777" w:rsidR="005B403A" w:rsidRPr="00FF45C5" w:rsidRDefault="005B403A" w:rsidP="005B403A">
      <w:pPr>
        <w:pStyle w:val="ListParagraph"/>
        <w:ind w:left="1440"/>
      </w:pPr>
    </w:p>
    <w:p w14:paraId="5994CC75" w14:textId="77777777" w:rsidR="005B403A" w:rsidRPr="00FF45C5" w:rsidRDefault="005B403A" w:rsidP="005B403A">
      <w:pPr>
        <w:pStyle w:val="ListParagraph"/>
        <w:numPr>
          <w:ilvl w:val="1"/>
          <w:numId w:val="2"/>
        </w:numPr>
      </w:pPr>
      <w:r w:rsidRPr="00FF45C5">
        <w:t>'Intermediate care, including step-down and step-up care, would represent a change in practice because this service is currently rare for people experiencing homelessness. This would need some funding but</w:t>
      </w:r>
      <w:r w:rsidRPr="00FF45C5">
        <w:rPr>
          <w:b/>
        </w:rPr>
        <w:t xml:space="preserve"> </w:t>
      </w:r>
      <w:r w:rsidRPr="00F0079B">
        <w:rPr>
          <w:bCs/>
        </w:rPr>
        <w:t>there is evidence that intermediate care represents value for money.'</w:t>
      </w:r>
    </w:p>
    <w:p w14:paraId="3C748A97" w14:textId="77777777" w:rsidR="005B403A" w:rsidRDefault="005B403A" w:rsidP="005B403A">
      <w:pPr>
        <w:pStyle w:val="ListParagraph"/>
        <w:ind w:left="1440"/>
      </w:pPr>
    </w:p>
    <w:p w14:paraId="5EE7E445" w14:textId="77777777" w:rsidR="005B403A" w:rsidRPr="00FF45C5" w:rsidRDefault="005B403A" w:rsidP="005B403A">
      <w:pPr>
        <w:rPr>
          <w:color w:val="000000"/>
        </w:rPr>
      </w:pPr>
    </w:p>
    <w:p w14:paraId="17E77797" w14:textId="6070BB43" w:rsidR="005B403A" w:rsidRPr="004F7FA7" w:rsidRDefault="2C3EBC8E" w:rsidP="002E384F">
      <w:pPr>
        <w:spacing w:line="259" w:lineRule="auto"/>
        <w:rPr>
          <w:b/>
          <w:bCs/>
          <w:color w:val="000000" w:themeColor="text1"/>
        </w:rPr>
      </w:pPr>
      <w:r w:rsidRPr="2C3EBC8E">
        <w:rPr>
          <w:b/>
          <w:bCs/>
          <w:color w:val="000000" w:themeColor="text1"/>
        </w:rPr>
        <w:t>Next Steps</w:t>
      </w:r>
    </w:p>
    <w:p w14:paraId="0E6F6525" w14:textId="77777777" w:rsidR="0064459B" w:rsidRPr="00FF45C5" w:rsidRDefault="0064459B" w:rsidP="005B403A">
      <w:pPr>
        <w:rPr>
          <w:color w:val="000000"/>
        </w:rPr>
      </w:pPr>
    </w:p>
    <w:p w14:paraId="52D333D9" w14:textId="05CEB2AF" w:rsidR="00911FEC" w:rsidRPr="002E384F" w:rsidRDefault="2C3EBC8E" w:rsidP="00F0079B">
      <w:pPr>
        <w:ind w:left="560" w:hanging="560"/>
        <w:rPr>
          <w:rStyle w:val="Firstpagetablebold"/>
          <w:b w:val="0"/>
        </w:rPr>
      </w:pPr>
      <w:r w:rsidRPr="002E384F">
        <w:t>1</w:t>
      </w:r>
      <w:r w:rsidR="00A01080" w:rsidRPr="002E384F">
        <w:t>4</w:t>
      </w:r>
      <w:r w:rsidRPr="002E384F">
        <w:t xml:space="preserve">. </w:t>
      </w:r>
      <w:r w:rsidR="00F0079B">
        <w:tab/>
      </w:r>
      <w:r w:rsidRPr="002E384F">
        <w:t>The OOHCM has been awarded the sum of £1,213,038 for the financial year 2023-24 from the Better Care Fund. This is by far the largest award they have made in Oxfordshire and will enable delivery of the current OOHC</w:t>
      </w:r>
      <w:r w:rsidR="00FA0F89">
        <w:t>M</w:t>
      </w:r>
      <w:r w:rsidRPr="002E384F">
        <w:t xml:space="preserve"> in its entirety until 31st March 2024.</w:t>
      </w:r>
    </w:p>
    <w:p w14:paraId="4E5A3498" w14:textId="77777777" w:rsidR="00911FEC" w:rsidRPr="002E384F" w:rsidRDefault="00911FEC" w:rsidP="00F0079B">
      <w:pPr>
        <w:ind w:left="560" w:hanging="560"/>
        <w:rPr>
          <w:rStyle w:val="Firstpagetablebold"/>
          <w:b w:val="0"/>
        </w:rPr>
      </w:pPr>
    </w:p>
    <w:p w14:paraId="7AD03464" w14:textId="65A9866A" w:rsidR="00911FEC" w:rsidRPr="002E384F" w:rsidRDefault="00A01080" w:rsidP="00F0079B">
      <w:pPr>
        <w:ind w:left="560" w:hanging="560"/>
        <w:rPr>
          <w:rStyle w:val="Firstpagetablebold"/>
          <w:b w:val="0"/>
        </w:rPr>
      </w:pPr>
      <w:r>
        <w:rPr>
          <w:rStyle w:val="Firstpagetablebold"/>
          <w:b w:val="0"/>
        </w:rPr>
        <w:t xml:space="preserve">15. </w:t>
      </w:r>
      <w:r w:rsidR="00F0079B">
        <w:rPr>
          <w:rStyle w:val="Firstpagetablebold"/>
          <w:b w:val="0"/>
        </w:rPr>
        <w:tab/>
      </w:r>
      <w:r w:rsidR="005B403A" w:rsidRPr="002E384F">
        <w:rPr>
          <w:rStyle w:val="Firstpagetablebold"/>
          <w:b w:val="0"/>
        </w:rPr>
        <w:t>A sum of £1,</w:t>
      </w:r>
      <w:r w:rsidR="002B4889" w:rsidRPr="002E384F">
        <w:rPr>
          <w:rStyle w:val="Firstpagetablebold"/>
          <w:b w:val="0"/>
        </w:rPr>
        <w:t>665,366 has been allocated for the OOHCM</w:t>
      </w:r>
      <w:r w:rsidR="00911FEC" w:rsidRPr="002E384F">
        <w:rPr>
          <w:rStyle w:val="Firstpagetablebold"/>
          <w:b w:val="0"/>
        </w:rPr>
        <w:t xml:space="preserve"> in the BCF budget for 2024-25.</w:t>
      </w:r>
      <w:r w:rsidR="00005572" w:rsidRPr="002E384F">
        <w:rPr>
          <w:rStyle w:val="Firstpagetablebold"/>
          <w:b w:val="0"/>
        </w:rPr>
        <w:t xml:space="preserve"> The precise make-up of the OOHCM beyond March 2024 is to be determined partly in response to the pending KCL evaluation (due September 2023).</w:t>
      </w:r>
    </w:p>
    <w:p w14:paraId="30433018" w14:textId="77777777" w:rsidR="00911FEC" w:rsidRPr="002E384F" w:rsidRDefault="00911FEC" w:rsidP="00F0079B">
      <w:pPr>
        <w:ind w:left="560" w:hanging="560"/>
        <w:rPr>
          <w:rStyle w:val="Firstpagetablebold"/>
          <w:b w:val="0"/>
        </w:rPr>
      </w:pPr>
    </w:p>
    <w:p w14:paraId="60064837" w14:textId="33967C1B" w:rsidR="00911FEC" w:rsidRPr="002E384F" w:rsidRDefault="00A01080" w:rsidP="00F0079B">
      <w:pPr>
        <w:ind w:left="560" w:hanging="560"/>
        <w:rPr>
          <w:rStyle w:val="Firstpagetablebold"/>
          <w:b w:val="0"/>
        </w:rPr>
      </w:pPr>
      <w:r>
        <w:rPr>
          <w:rStyle w:val="Firstpagetablebold"/>
          <w:b w:val="0"/>
        </w:rPr>
        <w:t xml:space="preserve">16. </w:t>
      </w:r>
      <w:r w:rsidR="00F0079B">
        <w:rPr>
          <w:rStyle w:val="Firstpagetablebold"/>
          <w:b w:val="0"/>
        </w:rPr>
        <w:tab/>
      </w:r>
      <w:r w:rsidR="00911FEC" w:rsidRPr="002E384F">
        <w:rPr>
          <w:rStyle w:val="Firstpagetablebold"/>
          <w:b w:val="0"/>
        </w:rPr>
        <w:t>Cabinet approval is sought to continue the OOHCM at current level of provision using the financing provided by the BCF and to award associated</w:t>
      </w:r>
      <w:r w:rsidR="000D4287" w:rsidRPr="002E384F">
        <w:rPr>
          <w:rStyle w:val="Firstpagetablebold"/>
          <w:b w:val="0"/>
        </w:rPr>
        <w:t xml:space="preserve"> </w:t>
      </w:r>
      <w:r w:rsidR="00911FEC" w:rsidRPr="002E384F">
        <w:rPr>
          <w:rStyle w:val="Firstpagetablebold"/>
          <w:b w:val="0"/>
        </w:rPr>
        <w:t>contracts</w:t>
      </w:r>
      <w:r w:rsidR="000D4287" w:rsidRPr="002E384F">
        <w:rPr>
          <w:rStyle w:val="Firstpagetablebold"/>
          <w:b w:val="0"/>
        </w:rPr>
        <w:t>,</w:t>
      </w:r>
      <w:r w:rsidR="00EE3AF0" w:rsidRPr="002E384F">
        <w:rPr>
          <w:rStyle w:val="Firstpagetablebold"/>
          <w:b w:val="0"/>
        </w:rPr>
        <w:t xml:space="preserve"> with yearly break clauses in line with funding</w:t>
      </w:r>
      <w:r w:rsidR="000D4287" w:rsidRPr="002E384F">
        <w:rPr>
          <w:rStyle w:val="Firstpagetablebold"/>
          <w:b w:val="0"/>
        </w:rPr>
        <w:t>,</w:t>
      </w:r>
      <w:r w:rsidR="00911FEC" w:rsidRPr="002E384F">
        <w:rPr>
          <w:rStyle w:val="Firstpagetablebold"/>
          <w:b w:val="0"/>
        </w:rPr>
        <w:t xml:space="preserve"> to external providers and employees. </w:t>
      </w:r>
    </w:p>
    <w:p w14:paraId="2205B736" w14:textId="77777777" w:rsidR="00005572" w:rsidRPr="00A01080" w:rsidRDefault="00005572" w:rsidP="00F0079B">
      <w:pPr>
        <w:ind w:left="560" w:hanging="560"/>
        <w:rPr>
          <w:rStyle w:val="Firstpagetablebold"/>
          <w:b w:val="0"/>
        </w:rPr>
      </w:pPr>
    </w:p>
    <w:p w14:paraId="740CAE76" w14:textId="2F23EB5B" w:rsidR="000D4287" w:rsidRPr="00A01080" w:rsidRDefault="00A01080" w:rsidP="00F0079B">
      <w:pPr>
        <w:ind w:left="560" w:hanging="560"/>
        <w:rPr>
          <w:lang w:eastAsia="en-GB"/>
        </w:rPr>
      </w:pPr>
      <w:r>
        <w:rPr>
          <w:rStyle w:val="Firstpagetablebold"/>
          <w:b w:val="0"/>
        </w:rPr>
        <w:t xml:space="preserve">17. </w:t>
      </w:r>
      <w:r w:rsidR="00F0079B">
        <w:rPr>
          <w:rStyle w:val="Firstpagetablebold"/>
          <w:b w:val="0"/>
        </w:rPr>
        <w:tab/>
      </w:r>
      <w:r w:rsidR="000D4287" w:rsidRPr="002E384F">
        <w:rPr>
          <w:rStyle w:val="Firstpagetablebold"/>
          <w:b w:val="0"/>
        </w:rPr>
        <w:t xml:space="preserve">Any extension to contract beyond March 2024 would be on the proviso that funding was secured and in place to enable this to happen. Break clauses and termination </w:t>
      </w:r>
      <w:r w:rsidR="000D4287" w:rsidRPr="002E384F">
        <w:rPr>
          <w:rStyle w:val="Firstpagetablebold"/>
          <w:b w:val="0"/>
        </w:rPr>
        <w:lastRenderedPageBreak/>
        <w:t>clauses would be wri</w:t>
      </w:r>
      <w:r w:rsidR="00403C48" w:rsidRPr="002E384F">
        <w:rPr>
          <w:rStyle w:val="Firstpagetablebold"/>
          <w:b w:val="0"/>
        </w:rPr>
        <w:t>tten into contracts reserving Oxford City Council</w:t>
      </w:r>
      <w:r w:rsidR="000D4287" w:rsidRPr="002E384F">
        <w:rPr>
          <w:rStyle w:val="Firstpagetablebold"/>
          <w:b w:val="0"/>
        </w:rPr>
        <w:t xml:space="preserve"> the right to either end or not award the contract from year to year, dependant on funding.</w:t>
      </w:r>
    </w:p>
    <w:p w14:paraId="2FA323EC" w14:textId="77777777" w:rsidR="008F08BD" w:rsidRDefault="008F08BD" w:rsidP="005B403A">
      <w:pPr>
        <w:rPr>
          <w:rStyle w:val="Firstpagetablebold"/>
          <w:b w:val="0"/>
        </w:rPr>
      </w:pPr>
    </w:p>
    <w:p w14:paraId="31E691D0" w14:textId="77777777" w:rsidR="003975AB" w:rsidRDefault="003975AB" w:rsidP="005B403A">
      <w:pPr>
        <w:rPr>
          <w:rStyle w:val="Firstpagetablebold"/>
          <w:b w:val="0"/>
        </w:rPr>
      </w:pPr>
    </w:p>
    <w:p w14:paraId="51A92634" w14:textId="5D62E72D" w:rsidR="0064459B" w:rsidRPr="004F7FA7" w:rsidRDefault="00911FEC" w:rsidP="005B403A">
      <w:pPr>
        <w:rPr>
          <w:rStyle w:val="Firstpagetablebold"/>
          <w:color w:val="000000"/>
        </w:rPr>
      </w:pPr>
      <w:r>
        <w:rPr>
          <w:b/>
          <w:color w:val="000000"/>
        </w:rPr>
        <w:t>Financial Implications</w:t>
      </w:r>
    </w:p>
    <w:p w14:paraId="48EDF2AE" w14:textId="77777777" w:rsidR="003D3E07" w:rsidRPr="00FF45C5" w:rsidRDefault="003D3E07" w:rsidP="005B403A">
      <w:pPr>
        <w:rPr>
          <w:rStyle w:val="Firstpagetablebold"/>
          <w:b w:val="0"/>
        </w:rPr>
      </w:pPr>
    </w:p>
    <w:p w14:paraId="439B8C00" w14:textId="222763BC" w:rsidR="005B403A" w:rsidRDefault="2C3EBC8E" w:rsidP="000E41BC">
      <w:pPr>
        <w:ind w:left="560" w:hanging="560"/>
        <w:rPr>
          <w:rStyle w:val="Firstpagetablebold"/>
          <w:b w:val="0"/>
        </w:rPr>
      </w:pPr>
      <w:r w:rsidRPr="2C3EBC8E">
        <w:rPr>
          <w:rStyle w:val="Firstpagetablebold"/>
          <w:b w:val="0"/>
        </w:rPr>
        <w:t>1</w:t>
      </w:r>
      <w:r w:rsidR="00A01080">
        <w:rPr>
          <w:rStyle w:val="Firstpagetablebold"/>
          <w:b w:val="0"/>
        </w:rPr>
        <w:t>8</w:t>
      </w:r>
      <w:r w:rsidRPr="00A01080">
        <w:rPr>
          <w:rStyle w:val="Firstpagetablebold"/>
          <w:b w:val="0"/>
        </w:rPr>
        <w:t xml:space="preserve">. </w:t>
      </w:r>
      <w:r w:rsidR="000E41BC">
        <w:rPr>
          <w:rStyle w:val="Firstpagetablebold"/>
          <w:b w:val="0"/>
        </w:rPr>
        <w:tab/>
      </w:r>
      <w:r w:rsidRPr="00A01080">
        <w:rPr>
          <w:rStyle w:val="Firstpagetablebold"/>
          <w:b w:val="0"/>
        </w:rPr>
        <w:t xml:space="preserve">The OOHCM is funded 100% from sources external to Oxford City Council and there are no financial implications or risks to Oxford City Council in continuing the OOHCM.  </w:t>
      </w:r>
    </w:p>
    <w:p w14:paraId="35379A0A" w14:textId="77777777" w:rsidR="005B403A" w:rsidRDefault="005B403A" w:rsidP="005B403A">
      <w:pPr>
        <w:pStyle w:val="Heading1"/>
        <w:rPr>
          <w:rFonts w:cs="Arial"/>
        </w:rPr>
      </w:pPr>
      <w:r w:rsidRPr="00FF45C5">
        <w:rPr>
          <w:rFonts w:cs="Arial"/>
        </w:rPr>
        <w:t>Legal issues</w:t>
      </w:r>
    </w:p>
    <w:p w14:paraId="311D3E96" w14:textId="1804E16D" w:rsidR="005B403A" w:rsidRPr="002E384F" w:rsidRDefault="2C3EBC8E" w:rsidP="000E41BC">
      <w:pPr>
        <w:pStyle w:val="bParagraphtext"/>
        <w:numPr>
          <w:ilvl w:val="0"/>
          <w:numId w:val="0"/>
        </w:numPr>
        <w:tabs>
          <w:tab w:val="clear" w:pos="426"/>
          <w:tab w:val="left" w:pos="574"/>
        </w:tabs>
        <w:ind w:left="560" w:hanging="560"/>
        <w:rPr>
          <w:rFonts w:cs="Arial"/>
          <w:color w:val="auto"/>
        </w:rPr>
      </w:pPr>
      <w:r w:rsidRPr="2C3EBC8E">
        <w:rPr>
          <w:rFonts w:cs="Arial"/>
        </w:rPr>
        <w:t>1</w:t>
      </w:r>
      <w:r w:rsidR="00A01080">
        <w:rPr>
          <w:rFonts w:cs="Arial"/>
        </w:rPr>
        <w:t>9</w:t>
      </w:r>
      <w:r w:rsidRPr="2C3EBC8E">
        <w:rPr>
          <w:rFonts w:cs="Arial"/>
        </w:rPr>
        <w:t xml:space="preserve">. </w:t>
      </w:r>
      <w:r w:rsidR="000E41BC">
        <w:rPr>
          <w:rFonts w:cs="Arial"/>
        </w:rPr>
        <w:tab/>
      </w:r>
      <w:r w:rsidRPr="002E384F">
        <w:rPr>
          <w:rFonts w:cs="Arial"/>
          <w:color w:val="auto"/>
        </w:rPr>
        <w:t>The procurement and award of contracts for this service will be undertaken in compliance with the Council’s contract rules contained in part 19 of its Constitution and the Public Contract Regulations (PCR) 2015</w:t>
      </w:r>
      <w:r w:rsidR="00B10FE6">
        <w:rPr>
          <w:rFonts w:cs="Arial"/>
          <w:color w:val="auto"/>
        </w:rPr>
        <w:t xml:space="preserve"> as amended by the Public Procurement (Amendment etc.) (EU Exit) Regulations 2020</w:t>
      </w:r>
      <w:r w:rsidR="00B77AA0">
        <w:rPr>
          <w:rFonts w:cs="Arial"/>
          <w:color w:val="auto"/>
        </w:rPr>
        <w:t>.</w:t>
      </w:r>
    </w:p>
    <w:p w14:paraId="0A932884" w14:textId="0E48C780" w:rsidR="00A01080" w:rsidRPr="002E384F" w:rsidRDefault="00A01080" w:rsidP="000E41BC">
      <w:pPr>
        <w:pStyle w:val="bParagraphtext"/>
        <w:numPr>
          <w:ilvl w:val="0"/>
          <w:numId w:val="0"/>
        </w:numPr>
        <w:tabs>
          <w:tab w:val="clear" w:pos="426"/>
          <w:tab w:val="left" w:pos="574"/>
        </w:tabs>
        <w:ind w:left="560" w:hanging="560"/>
        <w:rPr>
          <w:rFonts w:cs="Arial"/>
          <w:color w:val="auto"/>
        </w:rPr>
      </w:pPr>
      <w:r w:rsidRPr="002E384F">
        <w:rPr>
          <w:rFonts w:cs="Arial"/>
          <w:color w:val="auto"/>
        </w:rPr>
        <w:t xml:space="preserve">20. </w:t>
      </w:r>
      <w:r w:rsidR="000E41BC">
        <w:rPr>
          <w:rFonts w:cs="Arial"/>
          <w:color w:val="auto"/>
        </w:rPr>
        <w:tab/>
      </w:r>
      <w:r w:rsidR="000D4287" w:rsidRPr="002E384F">
        <w:rPr>
          <w:rFonts w:cs="Arial"/>
          <w:color w:val="auto"/>
        </w:rPr>
        <w:t>The current provision is operating under an exemption from procurement to the previous contract until Cabinet approves the continuation of the OOHCM. Once this approval is in place a comprehensive public tendering exercise will be conducted</w:t>
      </w:r>
      <w:r w:rsidRPr="002E384F">
        <w:rPr>
          <w:rFonts w:cs="Arial"/>
          <w:color w:val="auto"/>
        </w:rPr>
        <w:t xml:space="preserve">. </w:t>
      </w:r>
    </w:p>
    <w:p w14:paraId="6D118A40" w14:textId="191A361F" w:rsidR="00A01080" w:rsidRPr="002E384F" w:rsidRDefault="00A01080" w:rsidP="000E41BC">
      <w:pPr>
        <w:pStyle w:val="bParagraphtext"/>
        <w:numPr>
          <w:ilvl w:val="0"/>
          <w:numId w:val="0"/>
        </w:numPr>
        <w:tabs>
          <w:tab w:val="clear" w:pos="426"/>
          <w:tab w:val="left" w:pos="574"/>
        </w:tabs>
        <w:ind w:left="560" w:hanging="560"/>
        <w:rPr>
          <w:rFonts w:cs="Arial"/>
          <w:color w:val="auto"/>
        </w:rPr>
      </w:pPr>
      <w:r w:rsidRPr="002E384F">
        <w:rPr>
          <w:rFonts w:cs="Arial"/>
          <w:color w:val="auto"/>
        </w:rPr>
        <w:t xml:space="preserve">21. </w:t>
      </w:r>
      <w:r w:rsidR="000E41BC">
        <w:rPr>
          <w:rFonts w:cs="Arial"/>
          <w:color w:val="auto"/>
        </w:rPr>
        <w:tab/>
      </w:r>
      <w:r w:rsidRPr="002E384F">
        <w:rPr>
          <w:rFonts w:cs="Arial"/>
          <w:color w:val="auto"/>
        </w:rPr>
        <w:t>Contracts awarded beyond March 2024 to deliver the OOHCM will be up to a maximum of five years, with b</w:t>
      </w:r>
      <w:r w:rsidRPr="00DB48C8">
        <w:rPr>
          <w:rStyle w:val="Firstpagetablebold"/>
          <w:b w:val="0"/>
          <w:color w:val="auto"/>
        </w:rPr>
        <w:t>reak clauses and termination clauses written in reserving Oxford City Council the right to either end or not award the contract from year to year, dependant on the funding being secured.</w:t>
      </w:r>
    </w:p>
    <w:p w14:paraId="7033D265" w14:textId="43CB28C7" w:rsidR="000D4287" w:rsidRDefault="000D4287" w:rsidP="003975AB">
      <w:pPr>
        <w:pStyle w:val="bParagraphtext"/>
        <w:numPr>
          <w:ilvl w:val="0"/>
          <w:numId w:val="0"/>
        </w:numPr>
        <w:ind w:left="426" w:hanging="426"/>
        <w:rPr>
          <w:rFonts w:cs="Arial"/>
          <w:color w:val="FF0000"/>
        </w:rPr>
      </w:pPr>
    </w:p>
    <w:p w14:paraId="1B84FEB0" w14:textId="77777777" w:rsidR="005B403A" w:rsidRPr="00FF45C5" w:rsidRDefault="005B403A" w:rsidP="005B403A">
      <w:pPr>
        <w:pStyle w:val="Heading1"/>
        <w:rPr>
          <w:rFonts w:cs="Arial"/>
        </w:rPr>
      </w:pPr>
      <w:r w:rsidRPr="00FF45C5">
        <w:rPr>
          <w:rFonts w:cs="Arial"/>
        </w:rPr>
        <w:t>Level of risk</w:t>
      </w:r>
    </w:p>
    <w:p w14:paraId="5F31A664" w14:textId="17EE5A13" w:rsidR="004A71E2" w:rsidRDefault="00DB48C8" w:rsidP="000E41BC">
      <w:pPr>
        <w:pStyle w:val="bParagraphtext"/>
        <w:numPr>
          <w:ilvl w:val="0"/>
          <w:numId w:val="0"/>
        </w:numPr>
        <w:tabs>
          <w:tab w:val="clear" w:pos="426"/>
          <w:tab w:val="left" w:pos="567"/>
        </w:tabs>
        <w:ind w:left="574" w:hanging="574"/>
        <w:rPr>
          <w:rStyle w:val="Firstpagetablebold"/>
          <w:b w:val="0"/>
        </w:rPr>
      </w:pPr>
      <w:r>
        <w:rPr>
          <w:rFonts w:cs="Arial"/>
        </w:rPr>
        <w:t>22</w:t>
      </w:r>
      <w:r w:rsidR="005B403A" w:rsidRPr="00FF45C5">
        <w:rPr>
          <w:rFonts w:cs="Arial"/>
        </w:rPr>
        <w:t xml:space="preserve">. </w:t>
      </w:r>
      <w:r w:rsidR="000E41BC">
        <w:rPr>
          <w:rFonts w:cs="Arial"/>
        </w:rPr>
        <w:tab/>
      </w:r>
      <w:r w:rsidR="004A71E2">
        <w:rPr>
          <w:rStyle w:val="Firstpagetablebold"/>
          <w:b w:val="0"/>
        </w:rPr>
        <w:t>By facilitating the management of the OOHCM, Oxford City Council does expose itself to minimal risks associated with the commissioning of services to external providers, such as breaches of data protection and GDPR legislation, for example. However, any such risks have already been successfully mitigated over the previous two years through a robust system of governance, including: data sharing agreements in place among all partners, adherence to procurement requirements</w:t>
      </w:r>
      <w:r w:rsidR="002B4889">
        <w:rPr>
          <w:rStyle w:val="Firstpagetablebold"/>
          <w:b w:val="0"/>
        </w:rPr>
        <w:t xml:space="preserve"> and </w:t>
      </w:r>
      <w:r w:rsidR="004A71E2">
        <w:rPr>
          <w:rStyle w:val="Firstpagetablebold"/>
          <w:b w:val="0"/>
        </w:rPr>
        <w:t>clear lines of accountability and performance management.</w:t>
      </w:r>
    </w:p>
    <w:p w14:paraId="46A06990" w14:textId="77777777" w:rsidR="00DB48C8" w:rsidRDefault="00DB48C8" w:rsidP="000E41BC">
      <w:pPr>
        <w:pStyle w:val="bParagraphtext"/>
        <w:numPr>
          <w:ilvl w:val="0"/>
          <w:numId w:val="0"/>
        </w:numPr>
        <w:tabs>
          <w:tab w:val="clear" w:pos="426"/>
          <w:tab w:val="left" w:pos="567"/>
        </w:tabs>
        <w:ind w:left="574" w:hanging="574"/>
        <w:rPr>
          <w:rStyle w:val="Firstpagetablebold"/>
          <w:b w:val="0"/>
        </w:rPr>
      </w:pPr>
    </w:p>
    <w:p w14:paraId="51040F3C" w14:textId="2E023AB5" w:rsidR="004A71E2" w:rsidRDefault="00DB48C8" w:rsidP="000E41BC">
      <w:pPr>
        <w:pStyle w:val="bParagraphtext"/>
        <w:numPr>
          <w:ilvl w:val="0"/>
          <w:numId w:val="0"/>
        </w:numPr>
        <w:tabs>
          <w:tab w:val="clear" w:pos="426"/>
          <w:tab w:val="left" w:pos="567"/>
        </w:tabs>
        <w:ind w:left="574" w:hanging="574"/>
        <w:rPr>
          <w:rFonts w:cs="Arial"/>
        </w:rPr>
      </w:pPr>
      <w:r>
        <w:rPr>
          <w:rStyle w:val="Firstpagetablebold"/>
          <w:b w:val="0"/>
        </w:rPr>
        <w:t xml:space="preserve">23. </w:t>
      </w:r>
      <w:r w:rsidR="000E41BC">
        <w:rPr>
          <w:rStyle w:val="Firstpagetablebold"/>
          <w:b w:val="0"/>
        </w:rPr>
        <w:tab/>
      </w:r>
      <w:r w:rsidR="004A71E2">
        <w:rPr>
          <w:rStyle w:val="Firstpagetablebold"/>
          <w:b w:val="0"/>
        </w:rPr>
        <w:t>The level of risk to Oxford City Council and its system partners if we do not continue the OOHCM is much higher, including:</w:t>
      </w:r>
    </w:p>
    <w:p w14:paraId="122BE805" w14:textId="77777777" w:rsidR="005B403A" w:rsidRPr="00FF45C5" w:rsidRDefault="005B403A" w:rsidP="005B403A">
      <w:pPr>
        <w:rPr>
          <w:u w:val="single"/>
        </w:rPr>
      </w:pPr>
    </w:p>
    <w:p w14:paraId="3970BC1E" w14:textId="77777777" w:rsidR="005B403A" w:rsidRPr="00FF45C5" w:rsidRDefault="005B403A" w:rsidP="000E41BC">
      <w:pPr>
        <w:pStyle w:val="ListParagraph"/>
        <w:numPr>
          <w:ilvl w:val="0"/>
          <w:numId w:val="25"/>
        </w:numPr>
        <w:ind w:left="896" w:hanging="322"/>
      </w:pPr>
      <w:r w:rsidRPr="00FF45C5">
        <w:t xml:space="preserve">Increase in delays to discharge from hospital and an increase in bed days, with associated adverse impact on the health and wellbeing of individuals and financial implications for health </w:t>
      </w:r>
      <w:proofErr w:type="gramStart"/>
      <w:r w:rsidRPr="00FF45C5">
        <w:t>services;</w:t>
      </w:r>
      <w:proofErr w:type="gramEnd"/>
    </w:p>
    <w:p w14:paraId="34ED9C7F" w14:textId="77777777" w:rsidR="005B403A" w:rsidRPr="00FF45C5" w:rsidRDefault="005B403A" w:rsidP="000E41BC">
      <w:pPr>
        <w:pStyle w:val="ListParagraph"/>
        <w:ind w:left="896" w:hanging="322"/>
      </w:pPr>
    </w:p>
    <w:p w14:paraId="1A99868F" w14:textId="69DD033E" w:rsidR="005B403A" w:rsidRPr="00FF45C5" w:rsidRDefault="005B403A" w:rsidP="000E41BC">
      <w:pPr>
        <w:pStyle w:val="ListParagraph"/>
        <w:numPr>
          <w:ilvl w:val="0"/>
          <w:numId w:val="25"/>
        </w:numPr>
        <w:ind w:left="896" w:hanging="322"/>
      </w:pPr>
      <w:r w:rsidRPr="00FF45C5">
        <w:t xml:space="preserve">Increase in unsafe discharges from hospital to rough sleeping and associated </w:t>
      </w:r>
      <w:r w:rsidR="004A71E2">
        <w:t xml:space="preserve">presentations to Housing teams and </w:t>
      </w:r>
      <w:r w:rsidRPr="00FF45C5">
        <w:t>readmissions</w:t>
      </w:r>
      <w:r w:rsidR="004A71E2">
        <w:t xml:space="preserve"> to </w:t>
      </w:r>
      <w:proofErr w:type="gramStart"/>
      <w:r w:rsidR="004A71E2">
        <w:t>hospital</w:t>
      </w:r>
      <w:r w:rsidRPr="00FF45C5">
        <w:t>;</w:t>
      </w:r>
      <w:proofErr w:type="gramEnd"/>
    </w:p>
    <w:p w14:paraId="0ECBEE4C" w14:textId="77777777" w:rsidR="005B403A" w:rsidRPr="00FF45C5" w:rsidRDefault="005B403A" w:rsidP="000E41BC">
      <w:pPr>
        <w:pStyle w:val="ListParagraph"/>
        <w:ind w:left="896" w:hanging="322"/>
      </w:pPr>
    </w:p>
    <w:p w14:paraId="4081A4FD" w14:textId="4EDB132E" w:rsidR="005B403A" w:rsidRPr="00FF45C5" w:rsidRDefault="005B403A" w:rsidP="000E41BC">
      <w:pPr>
        <w:pStyle w:val="ListParagraph"/>
        <w:numPr>
          <w:ilvl w:val="0"/>
          <w:numId w:val="25"/>
        </w:numPr>
        <w:ind w:left="896" w:hanging="322"/>
      </w:pPr>
      <w:r w:rsidRPr="00FF45C5">
        <w:t xml:space="preserve">Disengagement with treatment and services within the community and subsequent increased risk of </w:t>
      </w:r>
      <w:r w:rsidR="004A71E2">
        <w:t xml:space="preserve">homelessness, presentation to Housing teams and </w:t>
      </w:r>
      <w:r w:rsidRPr="00FF45C5">
        <w:t xml:space="preserve">readmission to </w:t>
      </w:r>
      <w:proofErr w:type="gramStart"/>
      <w:r w:rsidRPr="00FF45C5">
        <w:t>hospital;</w:t>
      </w:r>
      <w:proofErr w:type="gramEnd"/>
    </w:p>
    <w:p w14:paraId="48A34D69" w14:textId="77777777" w:rsidR="005B403A" w:rsidRPr="00FF45C5" w:rsidRDefault="005B403A" w:rsidP="000E41BC">
      <w:pPr>
        <w:pStyle w:val="ListParagraph"/>
        <w:ind w:left="896" w:hanging="322"/>
      </w:pPr>
    </w:p>
    <w:p w14:paraId="3BDD8445" w14:textId="77777777" w:rsidR="005B403A" w:rsidRPr="00FF45C5" w:rsidRDefault="005B403A" w:rsidP="000E41BC">
      <w:pPr>
        <w:pStyle w:val="ListParagraph"/>
        <w:numPr>
          <w:ilvl w:val="0"/>
          <w:numId w:val="25"/>
        </w:numPr>
        <w:ind w:left="896" w:hanging="322"/>
      </w:pPr>
      <w:r w:rsidRPr="00FF45C5">
        <w:lastRenderedPageBreak/>
        <w:t xml:space="preserve">Increase in inequality of access to services and subsequent poorer outcomes for the health and wellbeing of vulnerable and excluded </w:t>
      </w:r>
      <w:proofErr w:type="gramStart"/>
      <w:r w:rsidRPr="00FF45C5">
        <w:t>individuals;</w:t>
      </w:r>
      <w:proofErr w:type="gramEnd"/>
    </w:p>
    <w:p w14:paraId="3C281DB6" w14:textId="77777777" w:rsidR="005B403A" w:rsidRPr="00FF45C5" w:rsidRDefault="005B403A" w:rsidP="000E41BC">
      <w:pPr>
        <w:pStyle w:val="ListParagraph"/>
        <w:ind w:left="896" w:hanging="322"/>
      </w:pPr>
    </w:p>
    <w:p w14:paraId="6A08B65E" w14:textId="0ADF52C2" w:rsidR="005B403A" w:rsidRPr="00FF45C5" w:rsidRDefault="005B403A" w:rsidP="000E41BC">
      <w:pPr>
        <w:pStyle w:val="ListParagraph"/>
        <w:numPr>
          <w:ilvl w:val="0"/>
          <w:numId w:val="25"/>
        </w:numPr>
        <w:ind w:left="896" w:hanging="322"/>
      </w:pPr>
      <w:r w:rsidRPr="00FF45C5">
        <w:t xml:space="preserve">Non-compliance with government and NICE guidance and good </w:t>
      </w:r>
      <w:proofErr w:type="gramStart"/>
      <w:r w:rsidRPr="00FF45C5">
        <w:t>practice</w:t>
      </w:r>
      <w:r w:rsidR="004A71E2">
        <w:t>;</w:t>
      </w:r>
      <w:proofErr w:type="gramEnd"/>
    </w:p>
    <w:p w14:paraId="63CE43AF" w14:textId="77777777" w:rsidR="005B403A" w:rsidRPr="00FF45C5" w:rsidRDefault="005B403A" w:rsidP="000E41BC">
      <w:pPr>
        <w:pStyle w:val="ListParagraph"/>
        <w:ind w:left="896" w:hanging="322"/>
      </w:pPr>
    </w:p>
    <w:p w14:paraId="580EC952" w14:textId="0C636048" w:rsidR="005B403A" w:rsidRPr="00FF45C5" w:rsidRDefault="005B403A" w:rsidP="000E41BC">
      <w:pPr>
        <w:pStyle w:val="ListParagraph"/>
        <w:numPr>
          <w:ilvl w:val="0"/>
          <w:numId w:val="25"/>
        </w:numPr>
        <w:ind w:left="896" w:hanging="322"/>
      </w:pPr>
      <w:r w:rsidRPr="00FF45C5">
        <w:t>Loss of operational and systemic achievements and gains that have been delivered by</w:t>
      </w:r>
      <w:r w:rsidR="0068630D">
        <w:t xml:space="preserve"> OOHCM, such as: l</w:t>
      </w:r>
      <w:r w:rsidRPr="00FF45C5">
        <w:t>ived experience input at a meaningful level</w:t>
      </w:r>
      <w:r w:rsidR="004A71E2">
        <w:t>; c</w:t>
      </w:r>
      <w:r w:rsidRPr="00FF45C5">
        <w:t>o-commissioning of services and housing strategies</w:t>
      </w:r>
      <w:r w:rsidR="0068630D">
        <w:t xml:space="preserve"> between services</w:t>
      </w:r>
      <w:r w:rsidR="004A71E2">
        <w:t>; i</w:t>
      </w:r>
      <w:r w:rsidRPr="00FF45C5">
        <w:t xml:space="preserve">mproved </w:t>
      </w:r>
      <w:r w:rsidR="004A71E2">
        <w:t xml:space="preserve">partnership working and shared </w:t>
      </w:r>
      <w:r w:rsidRPr="00FF45C5">
        <w:t>accountability</w:t>
      </w:r>
      <w:r w:rsidR="004A71E2">
        <w:t xml:space="preserve">. </w:t>
      </w:r>
      <w:r w:rsidRPr="00FF45C5">
        <w:t xml:space="preserve"> </w:t>
      </w:r>
    </w:p>
    <w:p w14:paraId="40C16531" w14:textId="3DA96049" w:rsidR="005B403A" w:rsidRPr="00FF45C5" w:rsidRDefault="005B403A" w:rsidP="005B403A">
      <w:pPr>
        <w:pStyle w:val="Heading1"/>
        <w:rPr>
          <w:rFonts w:cs="Arial"/>
        </w:rPr>
      </w:pPr>
      <w:r w:rsidRPr="00FF45C5">
        <w:rPr>
          <w:rFonts w:cs="Arial"/>
        </w:rPr>
        <w:t>Equalit</w:t>
      </w:r>
      <w:r w:rsidR="00B10FE6">
        <w:rPr>
          <w:rFonts w:cs="Arial"/>
        </w:rPr>
        <w:t>y</w:t>
      </w:r>
      <w:r w:rsidRPr="00FF45C5">
        <w:rPr>
          <w:rFonts w:cs="Arial"/>
        </w:rPr>
        <w:t xml:space="preserve"> impact </w:t>
      </w:r>
    </w:p>
    <w:p w14:paraId="5653D800" w14:textId="760176B3" w:rsidR="005B403A" w:rsidRDefault="00DB48C8" w:rsidP="000E41BC">
      <w:pPr>
        <w:pStyle w:val="bParagraphtext"/>
        <w:numPr>
          <w:ilvl w:val="0"/>
          <w:numId w:val="0"/>
        </w:numPr>
        <w:tabs>
          <w:tab w:val="clear" w:pos="426"/>
          <w:tab w:val="left" w:pos="588"/>
        </w:tabs>
        <w:ind w:left="574" w:hanging="574"/>
      </w:pPr>
      <w:r>
        <w:rPr>
          <w:rFonts w:cs="Arial"/>
        </w:rPr>
        <w:t>2</w:t>
      </w:r>
      <w:r w:rsidR="0064459B">
        <w:rPr>
          <w:rFonts w:cs="Arial"/>
        </w:rPr>
        <w:t>4</w:t>
      </w:r>
      <w:r w:rsidR="005B403A" w:rsidRPr="00FF45C5">
        <w:rPr>
          <w:rFonts w:cs="Arial"/>
        </w:rPr>
        <w:t>.</w:t>
      </w:r>
      <w:r w:rsidR="005B403A" w:rsidRPr="00FF45C5">
        <w:rPr>
          <w:rFonts w:cs="Arial"/>
        </w:rPr>
        <w:tab/>
      </w:r>
      <w:r w:rsidR="005B403A">
        <w:t>The extension of the OOHCM is aligned to and forms part of the effort to deliver the Council’s Housing, Homelessness and Rough Sleeping Strategy which has been subject to a full equality impact assessment. There are no adverse impacts anticipated on anyone with protected characteristics, rather efforts to support hospital discharge and prevent homelessness should suppor</w:t>
      </w:r>
      <w:r w:rsidR="004A71E2">
        <w:t>t efforts to reduce inequality.</w:t>
      </w:r>
    </w:p>
    <w:p w14:paraId="6B8F20F3" w14:textId="77777777" w:rsidR="004A71E2" w:rsidRDefault="004A71E2" w:rsidP="005B403A">
      <w:pPr>
        <w:pStyle w:val="bParagraphtext"/>
        <w:numPr>
          <w:ilvl w:val="0"/>
          <w:numId w:val="0"/>
        </w:numPr>
        <w:ind w:left="426" w:hanging="426"/>
        <w:rPr>
          <w:rFonts w:cs="Arial"/>
        </w:rPr>
      </w:pPr>
    </w:p>
    <w:p w14:paraId="6992519D" w14:textId="77777777" w:rsidR="005B403A" w:rsidRPr="00FF45C5" w:rsidRDefault="005B403A" w:rsidP="005B403A">
      <w:pPr>
        <w:pStyle w:val="bParagraphtext"/>
        <w:numPr>
          <w:ilvl w:val="0"/>
          <w:numId w:val="0"/>
        </w:numPr>
        <w:rPr>
          <w:rFonts w:cs="Arial"/>
        </w:rPr>
      </w:pPr>
      <w:r w:rsidRPr="00FF45C5">
        <w:rPr>
          <w:rFonts w:cs="Arial"/>
          <w:b/>
        </w:rPr>
        <w:t xml:space="preserve">Environmental </w:t>
      </w:r>
    </w:p>
    <w:p w14:paraId="2D51D72B" w14:textId="3133A83D" w:rsidR="005B403A" w:rsidRDefault="00DB48C8" w:rsidP="000E41BC">
      <w:pPr>
        <w:pStyle w:val="bParagraphtext"/>
        <w:numPr>
          <w:ilvl w:val="0"/>
          <w:numId w:val="0"/>
        </w:numPr>
        <w:tabs>
          <w:tab w:val="clear" w:pos="426"/>
          <w:tab w:val="left" w:pos="588"/>
        </w:tabs>
        <w:ind w:left="588" w:hanging="588"/>
        <w:rPr>
          <w:rFonts w:cs="Arial"/>
          <w:color w:val="auto"/>
        </w:rPr>
      </w:pPr>
      <w:r>
        <w:rPr>
          <w:rFonts w:cs="Arial"/>
        </w:rPr>
        <w:t>2</w:t>
      </w:r>
      <w:r w:rsidR="0064459B">
        <w:rPr>
          <w:rFonts w:cs="Arial"/>
        </w:rPr>
        <w:t>5</w:t>
      </w:r>
      <w:r w:rsidR="005B403A" w:rsidRPr="00FF45C5">
        <w:rPr>
          <w:rFonts w:cs="Arial"/>
        </w:rPr>
        <w:t>.</w:t>
      </w:r>
      <w:r w:rsidR="005B403A" w:rsidRPr="00FF45C5">
        <w:rPr>
          <w:rFonts w:cs="Arial"/>
        </w:rPr>
        <w:tab/>
      </w:r>
      <w:r w:rsidR="005B403A" w:rsidRPr="004F7FA7">
        <w:rPr>
          <w:rFonts w:cs="Arial"/>
          <w:color w:val="auto"/>
        </w:rPr>
        <w:t xml:space="preserve">There are few environmental considerations arising directly from this report and no impact is anticipated on the environment. </w:t>
      </w:r>
    </w:p>
    <w:p w14:paraId="5B715876" w14:textId="77777777" w:rsidR="0068630D" w:rsidRDefault="0068630D" w:rsidP="005B403A">
      <w:pPr>
        <w:pStyle w:val="bParagraphtext"/>
        <w:numPr>
          <w:ilvl w:val="0"/>
          <w:numId w:val="0"/>
        </w:numPr>
        <w:ind w:left="426" w:hanging="426"/>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B403A" w:rsidRPr="00FF45C5" w14:paraId="6A341A1E" w14:textId="77777777" w:rsidTr="005B403A">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7B84C03" w14:textId="77777777" w:rsidR="005B403A" w:rsidRPr="00FF45C5" w:rsidRDefault="005B403A" w:rsidP="005B403A">
            <w:pPr>
              <w:rPr>
                <w:b/>
              </w:rPr>
            </w:pPr>
            <w:r w:rsidRPr="00FF45C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448DC31" w14:textId="77777777" w:rsidR="005B403A" w:rsidRPr="00FF45C5" w:rsidRDefault="005B403A" w:rsidP="005B403A">
            <w:r w:rsidRPr="00FF45C5">
              <w:t>Peter Moore</w:t>
            </w:r>
          </w:p>
        </w:tc>
      </w:tr>
      <w:tr w:rsidR="005B403A" w:rsidRPr="00FF45C5" w14:paraId="7BCBB2FC" w14:textId="77777777" w:rsidTr="005B403A">
        <w:trPr>
          <w:cantSplit/>
          <w:trHeight w:val="396"/>
        </w:trPr>
        <w:tc>
          <w:tcPr>
            <w:tcW w:w="3969" w:type="dxa"/>
            <w:tcBorders>
              <w:top w:val="single" w:sz="8" w:space="0" w:color="000000"/>
              <w:left w:val="single" w:sz="8" w:space="0" w:color="000000"/>
              <w:bottom w:val="nil"/>
              <w:right w:val="nil"/>
            </w:tcBorders>
            <w:shd w:val="clear" w:color="auto" w:fill="auto"/>
          </w:tcPr>
          <w:p w14:paraId="6BDAD453" w14:textId="77777777" w:rsidR="005B403A" w:rsidRPr="00FF45C5" w:rsidRDefault="005B403A" w:rsidP="005B403A">
            <w:r w:rsidRPr="00FF45C5">
              <w:t>Job title</w:t>
            </w:r>
          </w:p>
        </w:tc>
        <w:tc>
          <w:tcPr>
            <w:tcW w:w="4962" w:type="dxa"/>
            <w:tcBorders>
              <w:top w:val="single" w:sz="8" w:space="0" w:color="000000"/>
              <w:left w:val="nil"/>
              <w:bottom w:val="nil"/>
              <w:right w:val="single" w:sz="8" w:space="0" w:color="000000"/>
            </w:tcBorders>
            <w:shd w:val="clear" w:color="auto" w:fill="auto"/>
          </w:tcPr>
          <w:p w14:paraId="451075C7" w14:textId="77777777" w:rsidR="005B403A" w:rsidRDefault="005B403A" w:rsidP="005B403A">
            <w:r>
              <w:t>Programme Manager - Oxfordshire Out of Hospital Care Model</w:t>
            </w:r>
          </w:p>
          <w:p w14:paraId="2383366D" w14:textId="77777777" w:rsidR="005B403A" w:rsidRPr="00FF45C5" w:rsidRDefault="005B403A" w:rsidP="005B403A"/>
        </w:tc>
      </w:tr>
      <w:tr w:rsidR="005B403A" w:rsidRPr="00FF45C5" w14:paraId="00C00716" w14:textId="77777777" w:rsidTr="005B403A">
        <w:trPr>
          <w:cantSplit/>
          <w:trHeight w:val="396"/>
        </w:trPr>
        <w:tc>
          <w:tcPr>
            <w:tcW w:w="3969" w:type="dxa"/>
            <w:tcBorders>
              <w:top w:val="nil"/>
              <w:left w:val="single" w:sz="8" w:space="0" w:color="000000"/>
              <w:bottom w:val="nil"/>
              <w:right w:val="nil"/>
            </w:tcBorders>
            <w:shd w:val="clear" w:color="auto" w:fill="auto"/>
          </w:tcPr>
          <w:p w14:paraId="509E6103" w14:textId="77777777" w:rsidR="005B403A" w:rsidRPr="00FF45C5" w:rsidRDefault="005B403A" w:rsidP="005B403A">
            <w:r w:rsidRPr="00FF45C5">
              <w:t>Service area or department</w:t>
            </w:r>
          </w:p>
        </w:tc>
        <w:tc>
          <w:tcPr>
            <w:tcW w:w="4962" w:type="dxa"/>
            <w:tcBorders>
              <w:top w:val="nil"/>
              <w:left w:val="nil"/>
              <w:bottom w:val="nil"/>
              <w:right w:val="single" w:sz="8" w:space="0" w:color="000000"/>
            </w:tcBorders>
            <w:shd w:val="clear" w:color="auto" w:fill="auto"/>
          </w:tcPr>
          <w:p w14:paraId="66FC867B" w14:textId="77777777" w:rsidR="005B403A" w:rsidRPr="00FF45C5" w:rsidRDefault="005B403A" w:rsidP="005B403A">
            <w:r w:rsidRPr="00FF45C5">
              <w:t>Housing Services</w:t>
            </w:r>
          </w:p>
        </w:tc>
      </w:tr>
      <w:tr w:rsidR="005B403A" w:rsidRPr="00FF45C5" w14:paraId="23D9047F" w14:textId="77777777" w:rsidTr="005B403A">
        <w:trPr>
          <w:cantSplit/>
          <w:trHeight w:val="396"/>
        </w:trPr>
        <w:tc>
          <w:tcPr>
            <w:tcW w:w="3969" w:type="dxa"/>
            <w:tcBorders>
              <w:top w:val="nil"/>
              <w:left w:val="single" w:sz="8" w:space="0" w:color="000000"/>
              <w:bottom w:val="nil"/>
              <w:right w:val="nil"/>
            </w:tcBorders>
            <w:shd w:val="clear" w:color="auto" w:fill="auto"/>
          </w:tcPr>
          <w:p w14:paraId="61DC87C5" w14:textId="77777777" w:rsidR="005B403A" w:rsidRPr="00FF45C5" w:rsidRDefault="005B403A" w:rsidP="005B403A">
            <w:r w:rsidRPr="00FF45C5">
              <w:t xml:space="preserve">Telephone </w:t>
            </w:r>
          </w:p>
        </w:tc>
        <w:tc>
          <w:tcPr>
            <w:tcW w:w="4962" w:type="dxa"/>
            <w:tcBorders>
              <w:top w:val="nil"/>
              <w:left w:val="nil"/>
              <w:bottom w:val="nil"/>
              <w:right w:val="single" w:sz="8" w:space="0" w:color="000000"/>
            </w:tcBorders>
            <w:shd w:val="clear" w:color="auto" w:fill="auto"/>
          </w:tcPr>
          <w:p w14:paraId="645173EC" w14:textId="77777777" w:rsidR="005B403A" w:rsidRPr="00FF45C5" w:rsidRDefault="005B403A" w:rsidP="005B403A">
            <w:r w:rsidRPr="00FF45C5">
              <w:t xml:space="preserve">07787 514497  </w:t>
            </w:r>
          </w:p>
        </w:tc>
      </w:tr>
      <w:tr w:rsidR="005B403A" w:rsidRPr="00FF45C5" w14:paraId="4C02CC7D" w14:textId="77777777" w:rsidTr="005B403A">
        <w:trPr>
          <w:cantSplit/>
          <w:trHeight w:val="396"/>
        </w:trPr>
        <w:tc>
          <w:tcPr>
            <w:tcW w:w="3969" w:type="dxa"/>
            <w:tcBorders>
              <w:top w:val="nil"/>
              <w:left w:val="single" w:sz="8" w:space="0" w:color="000000"/>
              <w:bottom w:val="single" w:sz="8" w:space="0" w:color="000000"/>
              <w:right w:val="nil"/>
            </w:tcBorders>
            <w:shd w:val="clear" w:color="auto" w:fill="auto"/>
          </w:tcPr>
          <w:p w14:paraId="578E34DB" w14:textId="77777777" w:rsidR="005B403A" w:rsidRPr="00FF45C5" w:rsidRDefault="005B403A" w:rsidP="005B403A">
            <w:r w:rsidRPr="00FF45C5">
              <w:t xml:space="preserve">e-mail </w:t>
            </w:r>
          </w:p>
        </w:tc>
        <w:tc>
          <w:tcPr>
            <w:tcW w:w="4962" w:type="dxa"/>
            <w:tcBorders>
              <w:top w:val="nil"/>
              <w:left w:val="nil"/>
              <w:bottom w:val="single" w:sz="8" w:space="0" w:color="000000"/>
              <w:right w:val="single" w:sz="8" w:space="0" w:color="000000"/>
            </w:tcBorders>
            <w:shd w:val="clear" w:color="auto" w:fill="auto"/>
          </w:tcPr>
          <w:p w14:paraId="058EA2A8" w14:textId="77777777" w:rsidR="005B403A" w:rsidRPr="00FF45C5" w:rsidRDefault="005B403A" w:rsidP="005B403A">
            <w:pPr>
              <w:rPr>
                <w:rStyle w:val="Hyperlink"/>
                <w:color w:val="000000"/>
              </w:rPr>
            </w:pPr>
            <w:r w:rsidRPr="00FF45C5">
              <w:rPr>
                <w:rStyle w:val="Hyperlink"/>
              </w:rPr>
              <w:t>pmoore@oxford.gov.uk</w:t>
            </w:r>
          </w:p>
        </w:tc>
      </w:tr>
    </w:tbl>
    <w:p w14:paraId="226BBFDD" w14:textId="77777777" w:rsidR="005B403A" w:rsidRPr="00FF45C5" w:rsidRDefault="005B403A" w:rsidP="005B40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B403A" w:rsidRPr="00FF45C5" w14:paraId="5CA1A0CD" w14:textId="77777777" w:rsidTr="002E384F">
        <w:tc>
          <w:tcPr>
            <w:tcW w:w="8908" w:type="dxa"/>
            <w:tcBorders>
              <w:top w:val="single" w:sz="4" w:space="0" w:color="auto"/>
              <w:left w:val="single" w:sz="4" w:space="0" w:color="auto"/>
              <w:bottom w:val="single" w:sz="8" w:space="0" w:color="000000"/>
              <w:right w:val="single" w:sz="4" w:space="0" w:color="auto"/>
            </w:tcBorders>
            <w:shd w:val="clear" w:color="auto" w:fill="auto"/>
          </w:tcPr>
          <w:p w14:paraId="265B8A73" w14:textId="77777777" w:rsidR="005B403A" w:rsidRDefault="005B403A" w:rsidP="005B403A">
            <w:pPr>
              <w:rPr>
                <w:rStyle w:val="Firstpagetablebold"/>
              </w:rPr>
            </w:pPr>
            <w:r w:rsidRPr="00FF45C5">
              <w:rPr>
                <w:rStyle w:val="Firstpagetablebold"/>
              </w:rPr>
              <w:t>Background Papers: None</w:t>
            </w:r>
          </w:p>
          <w:p w14:paraId="1AAC3CB5" w14:textId="77777777" w:rsidR="0068630D" w:rsidRPr="00FF45C5" w:rsidRDefault="0068630D" w:rsidP="005B403A"/>
        </w:tc>
      </w:tr>
    </w:tbl>
    <w:p w14:paraId="598CBD68" w14:textId="77777777" w:rsidR="005B403A" w:rsidRPr="00FF45C5" w:rsidRDefault="005B403A" w:rsidP="005B403A"/>
    <w:sectPr w:rsidR="005B403A" w:rsidRPr="00FF45C5" w:rsidSect="00BC5B6D">
      <w:headerReference w:type="default" r:id="rId8"/>
      <w:headerReference w:type="first" r:id="rId9"/>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61B5" w14:textId="77777777" w:rsidR="00880695" w:rsidRDefault="00880695" w:rsidP="00D75130">
      <w:r>
        <w:separator/>
      </w:r>
    </w:p>
  </w:endnote>
  <w:endnote w:type="continuationSeparator" w:id="0">
    <w:p w14:paraId="3353D358" w14:textId="77777777" w:rsidR="00880695" w:rsidRDefault="00880695" w:rsidP="00D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8B56" w14:textId="77777777" w:rsidR="00880695" w:rsidRDefault="00880695" w:rsidP="00D75130">
      <w:r>
        <w:separator/>
      </w:r>
    </w:p>
  </w:footnote>
  <w:footnote w:type="continuationSeparator" w:id="0">
    <w:p w14:paraId="5E4B09A7" w14:textId="77777777" w:rsidR="00880695" w:rsidRDefault="00880695" w:rsidP="00D7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A3F4" w14:textId="6E3149FE" w:rsidR="00BC5B6D" w:rsidRDefault="00BC5B6D" w:rsidP="00BC5B6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1969" w14:textId="73F084B0" w:rsidR="00BC5B6D" w:rsidRDefault="00BC5B6D" w:rsidP="00BC5B6D">
    <w:pPr>
      <w:pStyle w:val="Header"/>
      <w:jc w:val="right"/>
    </w:pPr>
    <w:r>
      <w:rPr>
        <w:noProof/>
        <w:color w:val="2B579A"/>
        <w:shd w:val="clear" w:color="auto" w:fill="E6E6E6"/>
      </w:rPr>
      <w:drawing>
        <wp:inline distT="0" distB="0" distL="0" distR="0" wp14:anchorId="6D1F5809" wp14:editId="6681341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96801"/>
    <w:multiLevelType w:val="hybridMultilevel"/>
    <w:tmpl w:val="8359FE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717B79"/>
    <w:multiLevelType w:val="hybridMultilevel"/>
    <w:tmpl w:val="AC140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658E6"/>
    <w:multiLevelType w:val="hybridMultilevel"/>
    <w:tmpl w:val="55B21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5071"/>
    <w:multiLevelType w:val="hybridMultilevel"/>
    <w:tmpl w:val="968E552C"/>
    <w:lvl w:ilvl="0" w:tplc="D8E09F2A">
      <w:start w:val="1"/>
      <w:numFmt w:val="bullet"/>
      <w:lvlText w:val=""/>
      <w:lvlJc w:val="left"/>
      <w:pPr>
        <w:tabs>
          <w:tab w:val="num" w:pos="720"/>
        </w:tabs>
        <w:ind w:left="720" w:hanging="360"/>
      </w:pPr>
      <w:rPr>
        <w:rFonts w:ascii="Wingdings" w:hAnsi="Wingdings" w:hint="default"/>
      </w:rPr>
    </w:lvl>
    <w:lvl w:ilvl="1" w:tplc="ACCA4F8C" w:tentative="1">
      <w:start w:val="1"/>
      <w:numFmt w:val="bullet"/>
      <w:lvlText w:val=""/>
      <w:lvlJc w:val="left"/>
      <w:pPr>
        <w:tabs>
          <w:tab w:val="num" w:pos="1440"/>
        </w:tabs>
        <w:ind w:left="1440" w:hanging="360"/>
      </w:pPr>
      <w:rPr>
        <w:rFonts w:ascii="Wingdings" w:hAnsi="Wingdings" w:hint="default"/>
      </w:rPr>
    </w:lvl>
    <w:lvl w:ilvl="2" w:tplc="440A9C28" w:tentative="1">
      <w:start w:val="1"/>
      <w:numFmt w:val="bullet"/>
      <w:lvlText w:val=""/>
      <w:lvlJc w:val="left"/>
      <w:pPr>
        <w:tabs>
          <w:tab w:val="num" w:pos="2160"/>
        </w:tabs>
        <w:ind w:left="2160" w:hanging="360"/>
      </w:pPr>
      <w:rPr>
        <w:rFonts w:ascii="Wingdings" w:hAnsi="Wingdings" w:hint="default"/>
      </w:rPr>
    </w:lvl>
    <w:lvl w:ilvl="3" w:tplc="289A0F0A" w:tentative="1">
      <w:start w:val="1"/>
      <w:numFmt w:val="bullet"/>
      <w:lvlText w:val=""/>
      <w:lvlJc w:val="left"/>
      <w:pPr>
        <w:tabs>
          <w:tab w:val="num" w:pos="2880"/>
        </w:tabs>
        <w:ind w:left="2880" w:hanging="360"/>
      </w:pPr>
      <w:rPr>
        <w:rFonts w:ascii="Wingdings" w:hAnsi="Wingdings" w:hint="default"/>
      </w:rPr>
    </w:lvl>
    <w:lvl w:ilvl="4" w:tplc="6B9E2CF8" w:tentative="1">
      <w:start w:val="1"/>
      <w:numFmt w:val="bullet"/>
      <w:lvlText w:val=""/>
      <w:lvlJc w:val="left"/>
      <w:pPr>
        <w:tabs>
          <w:tab w:val="num" w:pos="3600"/>
        </w:tabs>
        <w:ind w:left="3600" w:hanging="360"/>
      </w:pPr>
      <w:rPr>
        <w:rFonts w:ascii="Wingdings" w:hAnsi="Wingdings" w:hint="default"/>
      </w:rPr>
    </w:lvl>
    <w:lvl w:ilvl="5" w:tplc="6D3645E8" w:tentative="1">
      <w:start w:val="1"/>
      <w:numFmt w:val="bullet"/>
      <w:lvlText w:val=""/>
      <w:lvlJc w:val="left"/>
      <w:pPr>
        <w:tabs>
          <w:tab w:val="num" w:pos="4320"/>
        </w:tabs>
        <w:ind w:left="4320" w:hanging="360"/>
      </w:pPr>
      <w:rPr>
        <w:rFonts w:ascii="Wingdings" w:hAnsi="Wingdings" w:hint="default"/>
      </w:rPr>
    </w:lvl>
    <w:lvl w:ilvl="6" w:tplc="6B90D364" w:tentative="1">
      <w:start w:val="1"/>
      <w:numFmt w:val="bullet"/>
      <w:lvlText w:val=""/>
      <w:lvlJc w:val="left"/>
      <w:pPr>
        <w:tabs>
          <w:tab w:val="num" w:pos="5040"/>
        </w:tabs>
        <w:ind w:left="5040" w:hanging="360"/>
      </w:pPr>
      <w:rPr>
        <w:rFonts w:ascii="Wingdings" w:hAnsi="Wingdings" w:hint="default"/>
      </w:rPr>
    </w:lvl>
    <w:lvl w:ilvl="7" w:tplc="5B16F4B0" w:tentative="1">
      <w:start w:val="1"/>
      <w:numFmt w:val="bullet"/>
      <w:lvlText w:val=""/>
      <w:lvlJc w:val="left"/>
      <w:pPr>
        <w:tabs>
          <w:tab w:val="num" w:pos="5760"/>
        </w:tabs>
        <w:ind w:left="5760" w:hanging="360"/>
      </w:pPr>
      <w:rPr>
        <w:rFonts w:ascii="Wingdings" w:hAnsi="Wingdings" w:hint="default"/>
      </w:rPr>
    </w:lvl>
    <w:lvl w:ilvl="8" w:tplc="9A3EE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726BE"/>
    <w:multiLevelType w:val="hybridMultilevel"/>
    <w:tmpl w:val="496C0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D31F5"/>
    <w:multiLevelType w:val="hybridMultilevel"/>
    <w:tmpl w:val="741CC25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BAB23A5"/>
    <w:multiLevelType w:val="hybridMultilevel"/>
    <w:tmpl w:val="58BEC8EC"/>
    <w:lvl w:ilvl="0" w:tplc="9812777E">
      <w:start w:val="1"/>
      <w:numFmt w:val="bullet"/>
      <w:lvlText w:val="•"/>
      <w:lvlJc w:val="left"/>
      <w:pPr>
        <w:tabs>
          <w:tab w:val="num" w:pos="720"/>
        </w:tabs>
        <w:ind w:left="720" w:hanging="360"/>
      </w:pPr>
      <w:rPr>
        <w:rFonts w:ascii="Arial" w:hAnsi="Arial" w:hint="default"/>
      </w:rPr>
    </w:lvl>
    <w:lvl w:ilvl="1" w:tplc="C0D41AF8">
      <w:start w:val="1"/>
      <w:numFmt w:val="bullet"/>
      <w:lvlText w:val="•"/>
      <w:lvlJc w:val="left"/>
      <w:pPr>
        <w:tabs>
          <w:tab w:val="num" w:pos="1440"/>
        </w:tabs>
        <w:ind w:left="1440" w:hanging="360"/>
      </w:pPr>
      <w:rPr>
        <w:rFonts w:ascii="Arial" w:hAnsi="Arial" w:hint="default"/>
      </w:rPr>
    </w:lvl>
    <w:lvl w:ilvl="2" w:tplc="F2AE9E5E" w:tentative="1">
      <w:start w:val="1"/>
      <w:numFmt w:val="bullet"/>
      <w:lvlText w:val="•"/>
      <w:lvlJc w:val="left"/>
      <w:pPr>
        <w:tabs>
          <w:tab w:val="num" w:pos="2160"/>
        </w:tabs>
        <w:ind w:left="2160" w:hanging="360"/>
      </w:pPr>
      <w:rPr>
        <w:rFonts w:ascii="Arial" w:hAnsi="Arial" w:hint="default"/>
      </w:rPr>
    </w:lvl>
    <w:lvl w:ilvl="3" w:tplc="F69A08D6" w:tentative="1">
      <w:start w:val="1"/>
      <w:numFmt w:val="bullet"/>
      <w:lvlText w:val="•"/>
      <w:lvlJc w:val="left"/>
      <w:pPr>
        <w:tabs>
          <w:tab w:val="num" w:pos="2880"/>
        </w:tabs>
        <w:ind w:left="2880" w:hanging="360"/>
      </w:pPr>
      <w:rPr>
        <w:rFonts w:ascii="Arial" w:hAnsi="Arial" w:hint="default"/>
      </w:rPr>
    </w:lvl>
    <w:lvl w:ilvl="4" w:tplc="65BC46CE" w:tentative="1">
      <w:start w:val="1"/>
      <w:numFmt w:val="bullet"/>
      <w:lvlText w:val="•"/>
      <w:lvlJc w:val="left"/>
      <w:pPr>
        <w:tabs>
          <w:tab w:val="num" w:pos="3600"/>
        </w:tabs>
        <w:ind w:left="3600" w:hanging="360"/>
      </w:pPr>
      <w:rPr>
        <w:rFonts w:ascii="Arial" w:hAnsi="Arial" w:hint="default"/>
      </w:rPr>
    </w:lvl>
    <w:lvl w:ilvl="5" w:tplc="D2C67082" w:tentative="1">
      <w:start w:val="1"/>
      <w:numFmt w:val="bullet"/>
      <w:lvlText w:val="•"/>
      <w:lvlJc w:val="left"/>
      <w:pPr>
        <w:tabs>
          <w:tab w:val="num" w:pos="4320"/>
        </w:tabs>
        <w:ind w:left="4320" w:hanging="360"/>
      </w:pPr>
      <w:rPr>
        <w:rFonts w:ascii="Arial" w:hAnsi="Arial" w:hint="default"/>
      </w:rPr>
    </w:lvl>
    <w:lvl w:ilvl="6" w:tplc="CAE696FA" w:tentative="1">
      <w:start w:val="1"/>
      <w:numFmt w:val="bullet"/>
      <w:lvlText w:val="•"/>
      <w:lvlJc w:val="left"/>
      <w:pPr>
        <w:tabs>
          <w:tab w:val="num" w:pos="5040"/>
        </w:tabs>
        <w:ind w:left="5040" w:hanging="360"/>
      </w:pPr>
      <w:rPr>
        <w:rFonts w:ascii="Arial" w:hAnsi="Arial" w:hint="default"/>
      </w:rPr>
    </w:lvl>
    <w:lvl w:ilvl="7" w:tplc="86840912" w:tentative="1">
      <w:start w:val="1"/>
      <w:numFmt w:val="bullet"/>
      <w:lvlText w:val="•"/>
      <w:lvlJc w:val="left"/>
      <w:pPr>
        <w:tabs>
          <w:tab w:val="num" w:pos="5760"/>
        </w:tabs>
        <w:ind w:left="5760" w:hanging="360"/>
      </w:pPr>
      <w:rPr>
        <w:rFonts w:ascii="Arial" w:hAnsi="Arial" w:hint="default"/>
      </w:rPr>
    </w:lvl>
    <w:lvl w:ilvl="8" w:tplc="637048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E18EE"/>
    <w:multiLevelType w:val="hybridMultilevel"/>
    <w:tmpl w:val="4FCA74A2"/>
    <w:lvl w:ilvl="0" w:tplc="CFCA2904">
      <w:start w:val="1"/>
      <w:numFmt w:val="bullet"/>
      <w:lvlText w:val="•"/>
      <w:lvlJc w:val="left"/>
      <w:pPr>
        <w:tabs>
          <w:tab w:val="num" w:pos="720"/>
        </w:tabs>
        <w:ind w:left="720" w:hanging="360"/>
      </w:pPr>
      <w:rPr>
        <w:rFonts w:ascii="Arial" w:hAnsi="Arial" w:hint="default"/>
      </w:rPr>
    </w:lvl>
    <w:lvl w:ilvl="1" w:tplc="F8CAE55C" w:tentative="1">
      <w:start w:val="1"/>
      <w:numFmt w:val="bullet"/>
      <w:lvlText w:val="•"/>
      <w:lvlJc w:val="left"/>
      <w:pPr>
        <w:tabs>
          <w:tab w:val="num" w:pos="1440"/>
        </w:tabs>
        <w:ind w:left="1440" w:hanging="360"/>
      </w:pPr>
      <w:rPr>
        <w:rFonts w:ascii="Arial" w:hAnsi="Arial" w:hint="default"/>
      </w:rPr>
    </w:lvl>
    <w:lvl w:ilvl="2" w:tplc="814CA5E6" w:tentative="1">
      <w:start w:val="1"/>
      <w:numFmt w:val="bullet"/>
      <w:lvlText w:val="•"/>
      <w:lvlJc w:val="left"/>
      <w:pPr>
        <w:tabs>
          <w:tab w:val="num" w:pos="2160"/>
        </w:tabs>
        <w:ind w:left="2160" w:hanging="360"/>
      </w:pPr>
      <w:rPr>
        <w:rFonts w:ascii="Arial" w:hAnsi="Arial" w:hint="default"/>
      </w:rPr>
    </w:lvl>
    <w:lvl w:ilvl="3" w:tplc="FD789E82" w:tentative="1">
      <w:start w:val="1"/>
      <w:numFmt w:val="bullet"/>
      <w:lvlText w:val="•"/>
      <w:lvlJc w:val="left"/>
      <w:pPr>
        <w:tabs>
          <w:tab w:val="num" w:pos="2880"/>
        </w:tabs>
        <w:ind w:left="2880" w:hanging="360"/>
      </w:pPr>
      <w:rPr>
        <w:rFonts w:ascii="Arial" w:hAnsi="Arial" w:hint="default"/>
      </w:rPr>
    </w:lvl>
    <w:lvl w:ilvl="4" w:tplc="5808BA58" w:tentative="1">
      <w:start w:val="1"/>
      <w:numFmt w:val="bullet"/>
      <w:lvlText w:val="•"/>
      <w:lvlJc w:val="left"/>
      <w:pPr>
        <w:tabs>
          <w:tab w:val="num" w:pos="3600"/>
        </w:tabs>
        <w:ind w:left="3600" w:hanging="360"/>
      </w:pPr>
      <w:rPr>
        <w:rFonts w:ascii="Arial" w:hAnsi="Arial" w:hint="default"/>
      </w:rPr>
    </w:lvl>
    <w:lvl w:ilvl="5" w:tplc="643CB1F2" w:tentative="1">
      <w:start w:val="1"/>
      <w:numFmt w:val="bullet"/>
      <w:lvlText w:val="•"/>
      <w:lvlJc w:val="left"/>
      <w:pPr>
        <w:tabs>
          <w:tab w:val="num" w:pos="4320"/>
        </w:tabs>
        <w:ind w:left="4320" w:hanging="360"/>
      </w:pPr>
      <w:rPr>
        <w:rFonts w:ascii="Arial" w:hAnsi="Arial" w:hint="default"/>
      </w:rPr>
    </w:lvl>
    <w:lvl w:ilvl="6" w:tplc="3AFE8442" w:tentative="1">
      <w:start w:val="1"/>
      <w:numFmt w:val="bullet"/>
      <w:lvlText w:val="•"/>
      <w:lvlJc w:val="left"/>
      <w:pPr>
        <w:tabs>
          <w:tab w:val="num" w:pos="5040"/>
        </w:tabs>
        <w:ind w:left="5040" w:hanging="360"/>
      </w:pPr>
      <w:rPr>
        <w:rFonts w:ascii="Arial" w:hAnsi="Arial" w:hint="default"/>
      </w:rPr>
    </w:lvl>
    <w:lvl w:ilvl="7" w:tplc="6C103494" w:tentative="1">
      <w:start w:val="1"/>
      <w:numFmt w:val="bullet"/>
      <w:lvlText w:val="•"/>
      <w:lvlJc w:val="left"/>
      <w:pPr>
        <w:tabs>
          <w:tab w:val="num" w:pos="5760"/>
        </w:tabs>
        <w:ind w:left="5760" w:hanging="360"/>
      </w:pPr>
      <w:rPr>
        <w:rFonts w:ascii="Arial" w:hAnsi="Arial" w:hint="default"/>
      </w:rPr>
    </w:lvl>
    <w:lvl w:ilvl="8" w:tplc="726ACF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778EC"/>
    <w:multiLevelType w:val="hybridMultilevel"/>
    <w:tmpl w:val="867A6744"/>
    <w:lvl w:ilvl="0" w:tplc="11C659FC">
      <w:start w:val="1"/>
      <w:numFmt w:val="bullet"/>
      <w:lvlText w:val="•"/>
      <w:lvlJc w:val="left"/>
      <w:pPr>
        <w:tabs>
          <w:tab w:val="num" w:pos="720"/>
        </w:tabs>
        <w:ind w:left="720" w:hanging="360"/>
      </w:pPr>
      <w:rPr>
        <w:rFonts w:ascii="Arial" w:hAnsi="Arial" w:hint="default"/>
      </w:rPr>
    </w:lvl>
    <w:lvl w:ilvl="1" w:tplc="A330FF58" w:tentative="1">
      <w:start w:val="1"/>
      <w:numFmt w:val="bullet"/>
      <w:lvlText w:val="•"/>
      <w:lvlJc w:val="left"/>
      <w:pPr>
        <w:tabs>
          <w:tab w:val="num" w:pos="1440"/>
        </w:tabs>
        <w:ind w:left="1440" w:hanging="360"/>
      </w:pPr>
      <w:rPr>
        <w:rFonts w:ascii="Arial" w:hAnsi="Arial" w:hint="default"/>
      </w:rPr>
    </w:lvl>
    <w:lvl w:ilvl="2" w:tplc="944A6AFA" w:tentative="1">
      <w:start w:val="1"/>
      <w:numFmt w:val="bullet"/>
      <w:lvlText w:val="•"/>
      <w:lvlJc w:val="left"/>
      <w:pPr>
        <w:tabs>
          <w:tab w:val="num" w:pos="2160"/>
        </w:tabs>
        <w:ind w:left="2160" w:hanging="360"/>
      </w:pPr>
      <w:rPr>
        <w:rFonts w:ascii="Arial" w:hAnsi="Arial" w:hint="default"/>
      </w:rPr>
    </w:lvl>
    <w:lvl w:ilvl="3" w:tplc="538CA86C" w:tentative="1">
      <w:start w:val="1"/>
      <w:numFmt w:val="bullet"/>
      <w:lvlText w:val="•"/>
      <w:lvlJc w:val="left"/>
      <w:pPr>
        <w:tabs>
          <w:tab w:val="num" w:pos="2880"/>
        </w:tabs>
        <w:ind w:left="2880" w:hanging="360"/>
      </w:pPr>
      <w:rPr>
        <w:rFonts w:ascii="Arial" w:hAnsi="Arial" w:hint="default"/>
      </w:rPr>
    </w:lvl>
    <w:lvl w:ilvl="4" w:tplc="B71C63F6" w:tentative="1">
      <w:start w:val="1"/>
      <w:numFmt w:val="bullet"/>
      <w:lvlText w:val="•"/>
      <w:lvlJc w:val="left"/>
      <w:pPr>
        <w:tabs>
          <w:tab w:val="num" w:pos="3600"/>
        </w:tabs>
        <w:ind w:left="3600" w:hanging="360"/>
      </w:pPr>
      <w:rPr>
        <w:rFonts w:ascii="Arial" w:hAnsi="Arial" w:hint="default"/>
      </w:rPr>
    </w:lvl>
    <w:lvl w:ilvl="5" w:tplc="324CF36C" w:tentative="1">
      <w:start w:val="1"/>
      <w:numFmt w:val="bullet"/>
      <w:lvlText w:val="•"/>
      <w:lvlJc w:val="left"/>
      <w:pPr>
        <w:tabs>
          <w:tab w:val="num" w:pos="4320"/>
        </w:tabs>
        <w:ind w:left="4320" w:hanging="360"/>
      </w:pPr>
      <w:rPr>
        <w:rFonts w:ascii="Arial" w:hAnsi="Arial" w:hint="default"/>
      </w:rPr>
    </w:lvl>
    <w:lvl w:ilvl="6" w:tplc="2282359A" w:tentative="1">
      <w:start w:val="1"/>
      <w:numFmt w:val="bullet"/>
      <w:lvlText w:val="•"/>
      <w:lvlJc w:val="left"/>
      <w:pPr>
        <w:tabs>
          <w:tab w:val="num" w:pos="5040"/>
        </w:tabs>
        <w:ind w:left="5040" w:hanging="360"/>
      </w:pPr>
      <w:rPr>
        <w:rFonts w:ascii="Arial" w:hAnsi="Arial" w:hint="default"/>
      </w:rPr>
    </w:lvl>
    <w:lvl w:ilvl="7" w:tplc="E1DC4EB2" w:tentative="1">
      <w:start w:val="1"/>
      <w:numFmt w:val="bullet"/>
      <w:lvlText w:val="•"/>
      <w:lvlJc w:val="left"/>
      <w:pPr>
        <w:tabs>
          <w:tab w:val="num" w:pos="5760"/>
        </w:tabs>
        <w:ind w:left="5760" w:hanging="360"/>
      </w:pPr>
      <w:rPr>
        <w:rFonts w:ascii="Arial" w:hAnsi="Arial" w:hint="default"/>
      </w:rPr>
    </w:lvl>
    <w:lvl w:ilvl="8" w:tplc="71344E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8753E3"/>
    <w:multiLevelType w:val="hybridMultilevel"/>
    <w:tmpl w:val="2B84CC3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E73679"/>
    <w:multiLevelType w:val="hybridMultilevel"/>
    <w:tmpl w:val="E9AC2BE6"/>
    <w:lvl w:ilvl="0" w:tplc="70BE915E">
      <w:start w:val="1"/>
      <w:numFmt w:val="bullet"/>
      <w:lvlText w:val="•"/>
      <w:lvlJc w:val="left"/>
      <w:pPr>
        <w:tabs>
          <w:tab w:val="num" w:pos="720"/>
        </w:tabs>
        <w:ind w:left="720" w:hanging="360"/>
      </w:pPr>
      <w:rPr>
        <w:rFonts w:ascii="Arial" w:hAnsi="Arial" w:hint="default"/>
      </w:rPr>
    </w:lvl>
    <w:lvl w:ilvl="1" w:tplc="4E6CDD8A">
      <w:start w:val="110"/>
      <w:numFmt w:val="bullet"/>
      <w:lvlText w:val="•"/>
      <w:lvlJc w:val="left"/>
      <w:pPr>
        <w:tabs>
          <w:tab w:val="num" w:pos="1440"/>
        </w:tabs>
        <w:ind w:left="1440" w:hanging="360"/>
      </w:pPr>
      <w:rPr>
        <w:rFonts w:ascii="Arial" w:hAnsi="Arial" w:hint="default"/>
      </w:rPr>
    </w:lvl>
    <w:lvl w:ilvl="2" w:tplc="B6BCF27C">
      <w:start w:val="110"/>
      <w:numFmt w:val="bullet"/>
      <w:lvlText w:val="•"/>
      <w:lvlJc w:val="left"/>
      <w:pPr>
        <w:tabs>
          <w:tab w:val="num" w:pos="2160"/>
        </w:tabs>
        <w:ind w:left="2160" w:hanging="360"/>
      </w:pPr>
      <w:rPr>
        <w:rFonts w:ascii="Arial" w:hAnsi="Arial" w:hint="default"/>
      </w:rPr>
    </w:lvl>
    <w:lvl w:ilvl="3" w:tplc="041A994C" w:tentative="1">
      <w:start w:val="1"/>
      <w:numFmt w:val="bullet"/>
      <w:lvlText w:val="•"/>
      <w:lvlJc w:val="left"/>
      <w:pPr>
        <w:tabs>
          <w:tab w:val="num" w:pos="2880"/>
        </w:tabs>
        <w:ind w:left="2880" w:hanging="360"/>
      </w:pPr>
      <w:rPr>
        <w:rFonts w:ascii="Arial" w:hAnsi="Arial" w:hint="default"/>
      </w:rPr>
    </w:lvl>
    <w:lvl w:ilvl="4" w:tplc="83E4507E" w:tentative="1">
      <w:start w:val="1"/>
      <w:numFmt w:val="bullet"/>
      <w:lvlText w:val="•"/>
      <w:lvlJc w:val="left"/>
      <w:pPr>
        <w:tabs>
          <w:tab w:val="num" w:pos="3600"/>
        </w:tabs>
        <w:ind w:left="3600" w:hanging="360"/>
      </w:pPr>
      <w:rPr>
        <w:rFonts w:ascii="Arial" w:hAnsi="Arial" w:hint="default"/>
      </w:rPr>
    </w:lvl>
    <w:lvl w:ilvl="5" w:tplc="8C4010AE" w:tentative="1">
      <w:start w:val="1"/>
      <w:numFmt w:val="bullet"/>
      <w:lvlText w:val="•"/>
      <w:lvlJc w:val="left"/>
      <w:pPr>
        <w:tabs>
          <w:tab w:val="num" w:pos="4320"/>
        </w:tabs>
        <w:ind w:left="4320" w:hanging="360"/>
      </w:pPr>
      <w:rPr>
        <w:rFonts w:ascii="Arial" w:hAnsi="Arial" w:hint="default"/>
      </w:rPr>
    </w:lvl>
    <w:lvl w:ilvl="6" w:tplc="4F0E500A" w:tentative="1">
      <w:start w:val="1"/>
      <w:numFmt w:val="bullet"/>
      <w:lvlText w:val="•"/>
      <w:lvlJc w:val="left"/>
      <w:pPr>
        <w:tabs>
          <w:tab w:val="num" w:pos="5040"/>
        </w:tabs>
        <w:ind w:left="5040" w:hanging="360"/>
      </w:pPr>
      <w:rPr>
        <w:rFonts w:ascii="Arial" w:hAnsi="Arial" w:hint="default"/>
      </w:rPr>
    </w:lvl>
    <w:lvl w:ilvl="7" w:tplc="EB4C736A" w:tentative="1">
      <w:start w:val="1"/>
      <w:numFmt w:val="bullet"/>
      <w:lvlText w:val="•"/>
      <w:lvlJc w:val="left"/>
      <w:pPr>
        <w:tabs>
          <w:tab w:val="num" w:pos="5760"/>
        </w:tabs>
        <w:ind w:left="5760" w:hanging="360"/>
      </w:pPr>
      <w:rPr>
        <w:rFonts w:ascii="Arial" w:hAnsi="Arial" w:hint="default"/>
      </w:rPr>
    </w:lvl>
    <w:lvl w:ilvl="8" w:tplc="1A7451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8D1958"/>
    <w:multiLevelType w:val="hybridMultilevel"/>
    <w:tmpl w:val="0342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A7A94"/>
    <w:multiLevelType w:val="hybridMultilevel"/>
    <w:tmpl w:val="BCACB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A148B9"/>
    <w:multiLevelType w:val="hybridMultilevel"/>
    <w:tmpl w:val="1E7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37DA"/>
    <w:multiLevelType w:val="hybridMultilevel"/>
    <w:tmpl w:val="4192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3380D"/>
    <w:multiLevelType w:val="hybridMultilevel"/>
    <w:tmpl w:val="F0545A42"/>
    <w:lvl w:ilvl="0" w:tplc="2D883E6E">
      <w:start w:val="1"/>
      <w:numFmt w:val="bullet"/>
      <w:pStyle w:val="bParagraphtext"/>
      <w:lvlText w:val="o"/>
      <w:lvlJc w:val="left"/>
      <w:pPr>
        <w:tabs>
          <w:tab w:val="num" w:pos="720"/>
        </w:tabs>
        <w:ind w:left="720" w:hanging="360"/>
      </w:pPr>
      <w:rPr>
        <w:rFonts w:ascii="Courier New" w:hAnsi="Courier New" w:hint="default"/>
      </w:rPr>
    </w:lvl>
    <w:lvl w:ilvl="1" w:tplc="4EA4781A" w:tentative="1">
      <w:start w:val="1"/>
      <w:numFmt w:val="bullet"/>
      <w:lvlText w:val="o"/>
      <w:lvlJc w:val="left"/>
      <w:pPr>
        <w:tabs>
          <w:tab w:val="num" w:pos="1440"/>
        </w:tabs>
        <w:ind w:left="1440" w:hanging="360"/>
      </w:pPr>
      <w:rPr>
        <w:rFonts w:ascii="Courier New" w:hAnsi="Courier New" w:hint="default"/>
      </w:rPr>
    </w:lvl>
    <w:lvl w:ilvl="2" w:tplc="ECDEA0DE" w:tentative="1">
      <w:start w:val="1"/>
      <w:numFmt w:val="bullet"/>
      <w:lvlText w:val="o"/>
      <w:lvlJc w:val="left"/>
      <w:pPr>
        <w:tabs>
          <w:tab w:val="num" w:pos="2160"/>
        </w:tabs>
        <w:ind w:left="2160" w:hanging="360"/>
      </w:pPr>
      <w:rPr>
        <w:rFonts w:ascii="Courier New" w:hAnsi="Courier New" w:hint="default"/>
      </w:rPr>
    </w:lvl>
    <w:lvl w:ilvl="3" w:tplc="15581D08" w:tentative="1">
      <w:start w:val="1"/>
      <w:numFmt w:val="bullet"/>
      <w:lvlText w:val="o"/>
      <w:lvlJc w:val="left"/>
      <w:pPr>
        <w:tabs>
          <w:tab w:val="num" w:pos="2880"/>
        </w:tabs>
        <w:ind w:left="2880" w:hanging="360"/>
      </w:pPr>
      <w:rPr>
        <w:rFonts w:ascii="Courier New" w:hAnsi="Courier New" w:hint="default"/>
      </w:rPr>
    </w:lvl>
    <w:lvl w:ilvl="4" w:tplc="090C69BA" w:tentative="1">
      <w:start w:val="1"/>
      <w:numFmt w:val="bullet"/>
      <w:lvlText w:val="o"/>
      <w:lvlJc w:val="left"/>
      <w:pPr>
        <w:tabs>
          <w:tab w:val="num" w:pos="3600"/>
        </w:tabs>
        <w:ind w:left="3600" w:hanging="360"/>
      </w:pPr>
      <w:rPr>
        <w:rFonts w:ascii="Courier New" w:hAnsi="Courier New" w:hint="default"/>
      </w:rPr>
    </w:lvl>
    <w:lvl w:ilvl="5" w:tplc="917E2A16">
      <w:start w:val="64"/>
      <w:numFmt w:val="bullet"/>
      <w:lvlText w:val="o"/>
      <w:lvlJc w:val="left"/>
      <w:pPr>
        <w:tabs>
          <w:tab w:val="num" w:pos="4320"/>
        </w:tabs>
        <w:ind w:left="4320" w:hanging="360"/>
      </w:pPr>
      <w:rPr>
        <w:rFonts w:ascii="Courier New" w:hAnsi="Courier New" w:hint="default"/>
      </w:rPr>
    </w:lvl>
    <w:lvl w:ilvl="6" w:tplc="DEF288B0" w:tentative="1">
      <w:start w:val="1"/>
      <w:numFmt w:val="bullet"/>
      <w:lvlText w:val="o"/>
      <w:lvlJc w:val="left"/>
      <w:pPr>
        <w:tabs>
          <w:tab w:val="num" w:pos="5040"/>
        </w:tabs>
        <w:ind w:left="5040" w:hanging="360"/>
      </w:pPr>
      <w:rPr>
        <w:rFonts w:ascii="Courier New" w:hAnsi="Courier New" w:hint="default"/>
      </w:rPr>
    </w:lvl>
    <w:lvl w:ilvl="7" w:tplc="38849270" w:tentative="1">
      <w:start w:val="1"/>
      <w:numFmt w:val="bullet"/>
      <w:lvlText w:val="o"/>
      <w:lvlJc w:val="left"/>
      <w:pPr>
        <w:tabs>
          <w:tab w:val="num" w:pos="5760"/>
        </w:tabs>
        <w:ind w:left="5760" w:hanging="360"/>
      </w:pPr>
      <w:rPr>
        <w:rFonts w:ascii="Courier New" w:hAnsi="Courier New" w:hint="default"/>
      </w:rPr>
    </w:lvl>
    <w:lvl w:ilvl="8" w:tplc="3CEC7A7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30DF13D6"/>
    <w:multiLevelType w:val="hybridMultilevel"/>
    <w:tmpl w:val="6F265EB4"/>
    <w:lvl w:ilvl="0" w:tplc="BA668A8A">
      <w:start w:val="1"/>
      <w:numFmt w:val="bullet"/>
      <w:lvlText w:val="•"/>
      <w:lvlJc w:val="left"/>
      <w:pPr>
        <w:tabs>
          <w:tab w:val="num" w:pos="720"/>
        </w:tabs>
        <w:ind w:left="720" w:hanging="360"/>
      </w:pPr>
      <w:rPr>
        <w:rFonts w:ascii="Arial" w:hAnsi="Arial" w:hint="default"/>
      </w:rPr>
    </w:lvl>
    <w:lvl w:ilvl="1" w:tplc="6A18A374" w:tentative="1">
      <w:start w:val="1"/>
      <w:numFmt w:val="bullet"/>
      <w:lvlText w:val="•"/>
      <w:lvlJc w:val="left"/>
      <w:pPr>
        <w:tabs>
          <w:tab w:val="num" w:pos="1440"/>
        </w:tabs>
        <w:ind w:left="1440" w:hanging="360"/>
      </w:pPr>
      <w:rPr>
        <w:rFonts w:ascii="Arial" w:hAnsi="Arial" w:hint="default"/>
      </w:rPr>
    </w:lvl>
    <w:lvl w:ilvl="2" w:tplc="2BD29490" w:tentative="1">
      <w:start w:val="1"/>
      <w:numFmt w:val="bullet"/>
      <w:lvlText w:val="•"/>
      <w:lvlJc w:val="left"/>
      <w:pPr>
        <w:tabs>
          <w:tab w:val="num" w:pos="2160"/>
        </w:tabs>
        <w:ind w:left="2160" w:hanging="360"/>
      </w:pPr>
      <w:rPr>
        <w:rFonts w:ascii="Arial" w:hAnsi="Arial" w:hint="default"/>
      </w:rPr>
    </w:lvl>
    <w:lvl w:ilvl="3" w:tplc="CF06B63C" w:tentative="1">
      <w:start w:val="1"/>
      <w:numFmt w:val="bullet"/>
      <w:lvlText w:val="•"/>
      <w:lvlJc w:val="left"/>
      <w:pPr>
        <w:tabs>
          <w:tab w:val="num" w:pos="2880"/>
        </w:tabs>
        <w:ind w:left="2880" w:hanging="360"/>
      </w:pPr>
      <w:rPr>
        <w:rFonts w:ascii="Arial" w:hAnsi="Arial" w:hint="default"/>
      </w:rPr>
    </w:lvl>
    <w:lvl w:ilvl="4" w:tplc="9A0C6D2C" w:tentative="1">
      <w:start w:val="1"/>
      <w:numFmt w:val="bullet"/>
      <w:lvlText w:val="•"/>
      <w:lvlJc w:val="left"/>
      <w:pPr>
        <w:tabs>
          <w:tab w:val="num" w:pos="3600"/>
        </w:tabs>
        <w:ind w:left="3600" w:hanging="360"/>
      </w:pPr>
      <w:rPr>
        <w:rFonts w:ascii="Arial" w:hAnsi="Arial" w:hint="default"/>
      </w:rPr>
    </w:lvl>
    <w:lvl w:ilvl="5" w:tplc="9D36CCFA" w:tentative="1">
      <w:start w:val="1"/>
      <w:numFmt w:val="bullet"/>
      <w:lvlText w:val="•"/>
      <w:lvlJc w:val="left"/>
      <w:pPr>
        <w:tabs>
          <w:tab w:val="num" w:pos="4320"/>
        </w:tabs>
        <w:ind w:left="4320" w:hanging="360"/>
      </w:pPr>
      <w:rPr>
        <w:rFonts w:ascii="Arial" w:hAnsi="Arial" w:hint="default"/>
      </w:rPr>
    </w:lvl>
    <w:lvl w:ilvl="6" w:tplc="32F0AAAA" w:tentative="1">
      <w:start w:val="1"/>
      <w:numFmt w:val="bullet"/>
      <w:lvlText w:val="•"/>
      <w:lvlJc w:val="left"/>
      <w:pPr>
        <w:tabs>
          <w:tab w:val="num" w:pos="5040"/>
        </w:tabs>
        <w:ind w:left="5040" w:hanging="360"/>
      </w:pPr>
      <w:rPr>
        <w:rFonts w:ascii="Arial" w:hAnsi="Arial" w:hint="default"/>
      </w:rPr>
    </w:lvl>
    <w:lvl w:ilvl="7" w:tplc="B3821D22" w:tentative="1">
      <w:start w:val="1"/>
      <w:numFmt w:val="bullet"/>
      <w:lvlText w:val="•"/>
      <w:lvlJc w:val="left"/>
      <w:pPr>
        <w:tabs>
          <w:tab w:val="num" w:pos="5760"/>
        </w:tabs>
        <w:ind w:left="5760" w:hanging="360"/>
      </w:pPr>
      <w:rPr>
        <w:rFonts w:ascii="Arial" w:hAnsi="Arial" w:hint="default"/>
      </w:rPr>
    </w:lvl>
    <w:lvl w:ilvl="8" w:tplc="F88E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D826FC"/>
    <w:multiLevelType w:val="hybridMultilevel"/>
    <w:tmpl w:val="95DE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36468"/>
    <w:multiLevelType w:val="hybridMultilevel"/>
    <w:tmpl w:val="9A5DF4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B9519F"/>
    <w:multiLevelType w:val="multilevel"/>
    <w:tmpl w:val="212AC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D60E11"/>
    <w:multiLevelType w:val="hybridMultilevel"/>
    <w:tmpl w:val="9774E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378FD"/>
    <w:multiLevelType w:val="hybridMultilevel"/>
    <w:tmpl w:val="873EDD22"/>
    <w:lvl w:ilvl="0" w:tplc="08E235E6">
      <w:start w:val="1"/>
      <w:numFmt w:val="bullet"/>
      <w:lvlText w:val=""/>
      <w:lvlJc w:val="left"/>
      <w:pPr>
        <w:tabs>
          <w:tab w:val="num" w:pos="720"/>
        </w:tabs>
        <w:ind w:left="720" w:hanging="360"/>
      </w:pPr>
      <w:rPr>
        <w:rFonts w:ascii="Wingdings" w:hAnsi="Wingdings" w:hint="default"/>
      </w:rPr>
    </w:lvl>
    <w:lvl w:ilvl="1" w:tplc="FF1C6C7E" w:tentative="1">
      <w:start w:val="1"/>
      <w:numFmt w:val="bullet"/>
      <w:lvlText w:val=""/>
      <w:lvlJc w:val="left"/>
      <w:pPr>
        <w:tabs>
          <w:tab w:val="num" w:pos="1440"/>
        </w:tabs>
        <w:ind w:left="1440" w:hanging="360"/>
      </w:pPr>
      <w:rPr>
        <w:rFonts w:ascii="Wingdings" w:hAnsi="Wingdings" w:hint="default"/>
      </w:rPr>
    </w:lvl>
    <w:lvl w:ilvl="2" w:tplc="8244C9C0" w:tentative="1">
      <w:start w:val="1"/>
      <w:numFmt w:val="bullet"/>
      <w:lvlText w:val=""/>
      <w:lvlJc w:val="left"/>
      <w:pPr>
        <w:tabs>
          <w:tab w:val="num" w:pos="2160"/>
        </w:tabs>
        <w:ind w:left="2160" w:hanging="360"/>
      </w:pPr>
      <w:rPr>
        <w:rFonts w:ascii="Wingdings" w:hAnsi="Wingdings" w:hint="default"/>
      </w:rPr>
    </w:lvl>
    <w:lvl w:ilvl="3" w:tplc="728240E4" w:tentative="1">
      <w:start w:val="1"/>
      <w:numFmt w:val="bullet"/>
      <w:lvlText w:val=""/>
      <w:lvlJc w:val="left"/>
      <w:pPr>
        <w:tabs>
          <w:tab w:val="num" w:pos="2880"/>
        </w:tabs>
        <w:ind w:left="2880" w:hanging="360"/>
      </w:pPr>
      <w:rPr>
        <w:rFonts w:ascii="Wingdings" w:hAnsi="Wingdings" w:hint="default"/>
      </w:rPr>
    </w:lvl>
    <w:lvl w:ilvl="4" w:tplc="C65C520C" w:tentative="1">
      <w:start w:val="1"/>
      <w:numFmt w:val="bullet"/>
      <w:lvlText w:val=""/>
      <w:lvlJc w:val="left"/>
      <w:pPr>
        <w:tabs>
          <w:tab w:val="num" w:pos="3600"/>
        </w:tabs>
        <w:ind w:left="3600" w:hanging="360"/>
      </w:pPr>
      <w:rPr>
        <w:rFonts w:ascii="Wingdings" w:hAnsi="Wingdings" w:hint="default"/>
      </w:rPr>
    </w:lvl>
    <w:lvl w:ilvl="5" w:tplc="E7EAA44C">
      <w:start w:val="1"/>
      <w:numFmt w:val="bullet"/>
      <w:lvlText w:val=""/>
      <w:lvlJc w:val="left"/>
      <w:pPr>
        <w:tabs>
          <w:tab w:val="num" w:pos="4320"/>
        </w:tabs>
        <w:ind w:left="4320" w:hanging="360"/>
      </w:pPr>
      <w:rPr>
        <w:rFonts w:ascii="Wingdings" w:hAnsi="Wingdings" w:hint="default"/>
      </w:rPr>
    </w:lvl>
    <w:lvl w:ilvl="6" w:tplc="727EAB92" w:tentative="1">
      <w:start w:val="1"/>
      <w:numFmt w:val="bullet"/>
      <w:lvlText w:val=""/>
      <w:lvlJc w:val="left"/>
      <w:pPr>
        <w:tabs>
          <w:tab w:val="num" w:pos="5040"/>
        </w:tabs>
        <w:ind w:left="5040" w:hanging="360"/>
      </w:pPr>
      <w:rPr>
        <w:rFonts w:ascii="Wingdings" w:hAnsi="Wingdings" w:hint="default"/>
      </w:rPr>
    </w:lvl>
    <w:lvl w:ilvl="7" w:tplc="AA2282DE" w:tentative="1">
      <w:start w:val="1"/>
      <w:numFmt w:val="bullet"/>
      <w:lvlText w:val=""/>
      <w:lvlJc w:val="left"/>
      <w:pPr>
        <w:tabs>
          <w:tab w:val="num" w:pos="5760"/>
        </w:tabs>
        <w:ind w:left="5760" w:hanging="360"/>
      </w:pPr>
      <w:rPr>
        <w:rFonts w:ascii="Wingdings" w:hAnsi="Wingdings" w:hint="default"/>
      </w:rPr>
    </w:lvl>
    <w:lvl w:ilvl="8" w:tplc="22F45E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31B1F"/>
    <w:multiLevelType w:val="hybridMultilevel"/>
    <w:tmpl w:val="47EECA72"/>
    <w:lvl w:ilvl="0" w:tplc="0A06DEAC">
      <w:start w:val="1"/>
      <w:numFmt w:val="bullet"/>
      <w:lvlText w:val=""/>
      <w:lvlJc w:val="left"/>
      <w:pPr>
        <w:tabs>
          <w:tab w:val="num" w:pos="720"/>
        </w:tabs>
        <w:ind w:left="720" w:hanging="360"/>
      </w:pPr>
      <w:rPr>
        <w:rFonts w:ascii="Wingdings" w:hAnsi="Wingdings" w:hint="default"/>
      </w:rPr>
    </w:lvl>
    <w:lvl w:ilvl="1" w:tplc="28BAF37C" w:tentative="1">
      <w:start w:val="1"/>
      <w:numFmt w:val="bullet"/>
      <w:lvlText w:val=""/>
      <w:lvlJc w:val="left"/>
      <w:pPr>
        <w:tabs>
          <w:tab w:val="num" w:pos="1440"/>
        </w:tabs>
        <w:ind w:left="1440" w:hanging="360"/>
      </w:pPr>
      <w:rPr>
        <w:rFonts w:ascii="Wingdings" w:hAnsi="Wingdings" w:hint="default"/>
      </w:rPr>
    </w:lvl>
    <w:lvl w:ilvl="2" w:tplc="82CC3B74" w:tentative="1">
      <w:start w:val="1"/>
      <w:numFmt w:val="bullet"/>
      <w:lvlText w:val=""/>
      <w:lvlJc w:val="left"/>
      <w:pPr>
        <w:tabs>
          <w:tab w:val="num" w:pos="2160"/>
        </w:tabs>
        <w:ind w:left="2160" w:hanging="360"/>
      </w:pPr>
      <w:rPr>
        <w:rFonts w:ascii="Wingdings" w:hAnsi="Wingdings" w:hint="default"/>
      </w:rPr>
    </w:lvl>
    <w:lvl w:ilvl="3" w:tplc="467A052C" w:tentative="1">
      <w:start w:val="1"/>
      <w:numFmt w:val="bullet"/>
      <w:lvlText w:val=""/>
      <w:lvlJc w:val="left"/>
      <w:pPr>
        <w:tabs>
          <w:tab w:val="num" w:pos="2880"/>
        </w:tabs>
        <w:ind w:left="2880" w:hanging="360"/>
      </w:pPr>
      <w:rPr>
        <w:rFonts w:ascii="Wingdings" w:hAnsi="Wingdings" w:hint="default"/>
      </w:rPr>
    </w:lvl>
    <w:lvl w:ilvl="4" w:tplc="E9E0CA9E" w:tentative="1">
      <w:start w:val="1"/>
      <w:numFmt w:val="bullet"/>
      <w:lvlText w:val=""/>
      <w:lvlJc w:val="left"/>
      <w:pPr>
        <w:tabs>
          <w:tab w:val="num" w:pos="3600"/>
        </w:tabs>
        <w:ind w:left="3600" w:hanging="360"/>
      </w:pPr>
      <w:rPr>
        <w:rFonts w:ascii="Wingdings" w:hAnsi="Wingdings" w:hint="default"/>
      </w:rPr>
    </w:lvl>
    <w:lvl w:ilvl="5" w:tplc="B232AC0C" w:tentative="1">
      <w:start w:val="1"/>
      <w:numFmt w:val="bullet"/>
      <w:lvlText w:val=""/>
      <w:lvlJc w:val="left"/>
      <w:pPr>
        <w:tabs>
          <w:tab w:val="num" w:pos="4320"/>
        </w:tabs>
        <w:ind w:left="4320" w:hanging="360"/>
      </w:pPr>
      <w:rPr>
        <w:rFonts w:ascii="Wingdings" w:hAnsi="Wingdings" w:hint="default"/>
      </w:rPr>
    </w:lvl>
    <w:lvl w:ilvl="6" w:tplc="E5463DF4" w:tentative="1">
      <w:start w:val="1"/>
      <w:numFmt w:val="bullet"/>
      <w:lvlText w:val=""/>
      <w:lvlJc w:val="left"/>
      <w:pPr>
        <w:tabs>
          <w:tab w:val="num" w:pos="5040"/>
        </w:tabs>
        <w:ind w:left="5040" w:hanging="360"/>
      </w:pPr>
      <w:rPr>
        <w:rFonts w:ascii="Wingdings" w:hAnsi="Wingdings" w:hint="default"/>
      </w:rPr>
    </w:lvl>
    <w:lvl w:ilvl="7" w:tplc="1652AE14" w:tentative="1">
      <w:start w:val="1"/>
      <w:numFmt w:val="bullet"/>
      <w:lvlText w:val=""/>
      <w:lvlJc w:val="left"/>
      <w:pPr>
        <w:tabs>
          <w:tab w:val="num" w:pos="5760"/>
        </w:tabs>
        <w:ind w:left="5760" w:hanging="360"/>
      </w:pPr>
      <w:rPr>
        <w:rFonts w:ascii="Wingdings" w:hAnsi="Wingdings" w:hint="default"/>
      </w:rPr>
    </w:lvl>
    <w:lvl w:ilvl="8" w:tplc="BCFC8F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27011"/>
    <w:multiLevelType w:val="hybridMultilevel"/>
    <w:tmpl w:val="1C704C6C"/>
    <w:lvl w:ilvl="0" w:tplc="47E48186">
      <w:start w:val="1"/>
      <w:numFmt w:val="bullet"/>
      <w:lvlText w:val="•"/>
      <w:lvlJc w:val="left"/>
      <w:pPr>
        <w:tabs>
          <w:tab w:val="num" w:pos="720"/>
        </w:tabs>
        <w:ind w:left="720" w:hanging="360"/>
      </w:pPr>
      <w:rPr>
        <w:rFonts w:ascii="Arial" w:hAnsi="Arial" w:hint="default"/>
      </w:rPr>
    </w:lvl>
    <w:lvl w:ilvl="1" w:tplc="8F3C9C56" w:tentative="1">
      <w:start w:val="1"/>
      <w:numFmt w:val="bullet"/>
      <w:lvlText w:val="•"/>
      <w:lvlJc w:val="left"/>
      <w:pPr>
        <w:tabs>
          <w:tab w:val="num" w:pos="1440"/>
        </w:tabs>
        <w:ind w:left="1440" w:hanging="360"/>
      </w:pPr>
      <w:rPr>
        <w:rFonts w:ascii="Arial" w:hAnsi="Arial" w:hint="default"/>
      </w:rPr>
    </w:lvl>
    <w:lvl w:ilvl="2" w:tplc="22A2F200" w:tentative="1">
      <w:start w:val="1"/>
      <w:numFmt w:val="bullet"/>
      <w:lvlText w:val="•"/>
      <w:lvlJc w:val="left"/>
      <w:pPr>
        <w:tabs>
          <w:tab w:val="num" w:pos="2160"/>
        </w:tabs>
        <w:ind w:left="2160" w:hanging="360"/>
      </w:pPr>
      <w:rPr>
        <w:rFonts w:ascii="Arial" w:hAnsi="Arial" w:hint="default"/>
      </w:rPr>
    </w:lvl>
    <w:lvl w:ilvl="3" w:tplc="94A6419C" w:tentative="1">
      <w:start w:val="1"/>
      <w:numFmt w:val="bullet"/>
      <w:lvlText w:val="•"/>
      <w:lvlJc w:val="left"/>
      <w:pPr>
        <w:tabs>
          <w:tab w:val="num" w:pos="2880"/>
        </w:tabs>
        <w:ind w:left="2880" w:hanging="360"/>
      </w:pPr>
      <w:rPr>
        <w:rFonts w:ascii="Arial" w:hAnsi="Arial" w:hint="default"/>
      </w:rPr>
    </w:lvl>
    <w:lvl w:ilvl="4" w:tplc="4856A166" w:tentative="1">
      <w:start w:val="1"/>
      <w:numFmt w:val="bullet"/>
      <w:lvlText w:val="•"/>
      <w:lvlJc w:val="left"/>
      <w:pPr>
        <w:tabs>
          <w:tab w:val="num" w:pos="3600"/>
        </w:tabs>
        <w:ind w:left="3600" w:hanging="360"/>
      </w:pPr>
      <w:rPr>
        <w:rFonts w:ascii="Arial" w:hAnsi="Arial" w:hint="default"/>
      </w:rPr>
    </w:lvl>
    <w:lvl w:ilvl="5" w:tplc="3642DA16" w:tentative="1">
      <w:start w:val="1"/>
      <w:numFmt w:val="bullet"/>
      <w:lvlText w:val="•"/>
      <w:lvlJc w:val="left"/>
      <w:pPr>
        <w:tabs>
          <w:tab w:val="num" w:pos="4320"/>
        </w:tabs>
        <w:ind w:left="4320" w:hanging="360"/>
      </w:pPr>
      <w:rPr>
        <w:rFonts w:ascii="Arial" w:hAnsi="Arial" w:hint="default"/>
      </w:rPr>
    </w:lvl>
    <w:lvl w:ilvl="6" w:tplc="26D40482" w:tentative="1">
      <w:start w:val="1"/>
      <w:numFmt w:val="bullet"/>
      <w:lvlText w:val="•"/>
      <w:lvlJc w:val="left"/>
      <w:pPr>
        <w:tabs>
          <w:tab w:val="num" w:pos="5040"/>
        </w:tabs>
        <w:ind w:left="5040" w:hanging="360"/>
      </w:pPr>
      <w:rPr>
        <w:rFonts w:ascii="Arial" w:hAnsi="Arial" w:hint="default"/>
      </w:rPr>
    </w:lvl>
    <w:lvl w:ilvl="7" w:tplc="6D12A6A8" w:tentative="1">
      <w:start w:val="1"/>
      <w:numFmt w:val="bullet"/>
      <w:lvlText w:val="•"/>
      <w:lvlJc w:val="left"/>
      <w:pPr>
        <w:tabs>
          <w:tab w:val="num" w:pos="5760"/>
        </w:tabs>
        <w:ind w:left="5760" w:hanging="360"/>
      </w:pPr>
      <w:rPr>
        <w:rFonts w:ascii="Arial" w:hAnsi="Arial" w:hint="default"/>
      </w:rPr>
    </w:lvl>
    <w:lvl w:ilvl="8" w:tplc="04C420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2A46B9"/>
    <w:multiLevelType w:val="hybridMultilevel"/>
    <w:tmpl w:val="DA94F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E7E56"/>
    <w:multiLevelType w:val="hybridMultilevel"/>
    <w:tmpl w:val="142AF8A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6" w15:restartNumberingAfterBreak="0">
    <w:nsid w:val="5DCD438F"/>
    <w:multiLevelType w:val="hybridMultilevel"/>
    <w:tmpl w:val="1FDA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F4560"/>
    <w:multiLevelType w:val="hybridMultilevel"/>
    <w:tmpl w:val="5B7AB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F53B9"/>
    <w:multiLevelType w:val="hybridMultilevel"/>
    <w:tmpl w:val="5BCE4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021FB"/>
    <w:multiLevelType w:val="hybridMultilevel"/>
    <w:tmpl w:val="854E9CB2"/>
    <w:lvl w:ilvl="0" w:tplc="FB64D7DE">
      <w:start w:val="1"/>
      <w:numFmt w:val="bullet"/>
      <w:lvlText w:val=""/>
      <w:lvlJc w:val="left"/>
      <w:pPr>
        <w:tabs>
          <w:tab w:val="num" w:pos="720"/>
        </w:tabs>
        <w:ind w:left="720" w:hanging="360"/>
      </w:pPr>
      <w:rPr>
        <w:rFonts w:ascii="Wingdings" w:hAnsi="Wingdings" w:hint="default"/>
      </w:rPr>
    </w:lvl>
    <w:lvl w:ilvl="1" w:tplc="FC2024F0" w:tentative="1">
      <w:start w:val="1"/>
      <w:numFmt w:val="bullet"/>
      <w:lvlText w:val=""/>
      <w:lvlJc w:val="left"/>
      <w:pPr>
        <w:tabs>
          <w:tab w:val="num" w:pos="1440"/>
        </w:tabs>
        <w:ind w:left="1440" w:hanging="360"/>
      </w:pPr>
      <w:rPr>
        <w:rFonts w:ascii="Wingdings" w:hAnsi="Wingdings" w:hint="default"/>
      </w:rPr>
    </w:lvl>
    <w:lvl w:ilvl="2" w:tplc="8F74D54C" w:tentative="1">
      <w:start w:val="1"/>
      <w:numFmt w:val="bullet"/>
      <w:lvlText w:val=""/>
      <w:lvlJc w:val="left"/>
      <w:pPr>
        <w:tabs>
          <w:tab w:val="num" w:pos="2160"/>
        </w:tabs>
        <w:ind w:left="2160" w:hanging="360"/>
      </w:pPr>
      <w:rPr>
        <w:rFonts w:ascii="Wingdings" w:hAnsi="Wingdings" w:hint="default"/>
      </w:rPr>
    </w:lvl>
    <w:lvl w:ilvl="3" w:tplc="7682DB86" w:tentative="1">
      <w:start w:val="1"/>
      <w:numFmt w:val="bullet"/>
      <w:lvlText w:val=""/>
      <w:lvlJc w:val="left"/>
      <w:pPr>
        <w:tabs>
          <w:tab w:val="num" w:pos="2880"/>
        </w:tabs>
        <w:ind w:left="2880" w:hanging="360"/>
      </w:pPr>
      <w:rPr>
        <w:rFonts w:ascii="Wingdings" w:hAnsi="Wingdings" w:hint="default"/>
      </w:rPr>
    </w:lvl>
    <w:lvl w:ilvl="4" w:tplc="621ADEE2" w:tentative="1">
      <w:start w:val="1"/>
      <w:numFmt w:val="bullet"/>
      <w:lvlText w:val=""/>
      <w:lvlJc w:val="left"/>
      <w:pPr>
        <w:tabs>
          <w:tab w:val="num" w:pos="3600"/>
        </w:tabs>
        <w:ind w:left="3600" w:hanging="360"/>
      </w:pPr>
      <w:rPr>
        <w:rFonts w:ascii="Wingdings" w:hAnsi="Wingdings" w:hint="default"/>
      </w:rPr>
    </w:lvl>
    <w:lvl w:ilvl="5" w:tplc="306AD26E" w:tentative="1">
      <w:start w:val="1"/>
      <w:numFmt w:val="bullet"/>
      <w:lvlText w:val=""/>
      <w:lvlJc w:val="left"/>
      <w:pPr>
        <w:tabs>
          <w:tab w:val="num" w:pos="4320"/>
        </w:tabs>
        <w:ind w:left="4320" w:hanging="360"/>
      </w:pPr>
      <w:rPr>
        <w:rFonts w:ascii="Wingdings" w:hAnsi="Wingdings" w:hint="default"/>
      </w:rPr>
    </w:lvl>
    <w:lvl w:ilvl="6" w:tplc="858A6288" w:tentative="1">
      <w:start w:val="1"/>
      <w:numFmt w:val="bullet"/>
      <w:lvlText w:val=""/>
      <w:lvlJc w:val="left"/>
      <w:pPr>
        <w:tabs>
          <w:tab w:val="num" w:pos="5040"/>
        </w:tabs>
        <w:ind w:left="5040" w:hanging="360"/>
      </w:pPr>
      <w:rPr>
        <w:rFonts w:ascii="Wingdings" w:hAnsi="Wingdings" w:hint="default"/>
      </w:rPr>
    </w:lvl>
    <w:lvl w:ilvl="7" w:tplc="74F65FB6" w:tentative="1">
      <w:start w:val="1"/>
      <w:numFmt w:val="bullet"/>
      <w:lvlText w:val=""/>
      <w:lvlJc w:val="left"/>
      <w:pPr>
        <w:tabs>
          <w:tab w:val="num" w:pos="5760"/>
        </w:tabs>
        <w:ind w:left="5760" w:hanging="360"/>
      </w:pPr>
      <w:rPr>
        <w:rFonts w:ascii="Wingdings" w:hAnsi="Wingdings" w:hint="default"/>
      </w:rPr>
    </w:lvl>
    <w:lvl w:ilvl="8" w:tplc="3F9498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C2F87"/>
    <w:multiLevelType w:val="hybridMultilevel"/>
    <w:tmpl w:val="1EEE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D3B71"/>
    <w:multiLevelType w:val="hybridMultilevel"/>
    <w:tmpl w:val="4CC6A6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9175BB"/>
    <w:multiLevelType w:val="hybridMultilevel"/>
    <w:tmpl w:val="CE4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A312F"/>
    <w:multiLevelType w:val="hybridMultilevel"/>
    <w:tmpl w:val="565A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57986"/>
    <w:multiLevelType w:val="multilevel"/>
    <w:tmpl w:val="C9427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8365C6"/>
    <w:multiLevelType w:val="multilevel"/>
    <w:tmpl w:val="ADAE8106"/>
    <w:lvl w:ilvl="0">
      <w:start w:val="1"/>
      <w:numFmt w:val="decimal"/>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23028713">
    <w:abstractNumId w:val="13"/>
  </w:num>
  <w:num w:numId="2" w16cid:durableId="796918775">
    <w:abstractNumId w:val="4"/>
  </w:num>
  <w:num w:numId="3" w16cid:durableId="829448345">
    <w:abstractNumId w:val="14"/>
  </w:num>
  <w:num w:numId="4" w16cid:durableId="1667636964">
    <w:abstractNumId w:val="33"/>
  </w:num>
  <w:num w:numId="5" w16cid:durableId="1921677985">
    <w:abstractNumId w:val="26"/>
  </w:num>
  <w:num w:numId="6" w16cid:durableId="780344006">
    <w:abstractNumId w:val="24"/>
  </w:num>
  <w:num w:numId="7" w16cid:durableId="59256211">
    <w:abstractNumId w:val="28"/>
  </w:num>
  <w:num w:numId="8" w16cid:durableId="1131358487">
    <w:abstractNumId w:val="6"/>
  </w:num>
  <w:num w:numId="9" w16cid:durableId="692851957">
    <w:abstractNumId w:val="8"/>
  </w:num>
  <w:num w:numId="10" w16cid:durableId="978918517">
    <w:abstractNumId w:val="22"/>
  </w:num>
  <w:num w:numId="11" w16cid:durableId="1666467461">
    <w:abstractNumId w:val="29"/>
  </w:num>
  <w:num w:numId="12" w16cid:durableId="103423929">
    <w:abstractNumId w:val="3"/>
  </w:num>
  <w:num w:numId="13" w16cid:durableId="665089183">
    <w:abstractNumId w:val="21"/>
  </w:num>
  <w:num w:numId="14" w16cid:durableId="1512142060">
    <w:abstractNumId w:val="15"/>
  </w:num>
  <w:num w:numId="15" w16cid:durableId="262104801">
    <w:abstractNumId w:val="23"/>
  </w:num>
  <w:num w:numId="16" w16cid:durableId="1364209001">
    <w:abstractNumId w:val="16"/>
  </w:num>
  <w:num w:numId="17" w16cid:durableId="641278349">
    <w:abstractNumId w:val="10"/>
  </w:num>
  <w:num w:numId="18" w16cid:durableId="11037215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3708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812198">
    <w:abstractNumId w:val="0"/>
  </w:num>
  <w:num w:numId="21" w16cid:durableId="462163818">
    <w:abstractNumId w:val="18"/>
  </w:num>
  <w:num w:numId="22" w16cid:durableId="1159540025">
    <w:abstractNumId w:val="1"/>
  </w:num>
  <w:num w:numId="23" w16cid:durableId="371806962">
    <w:abstractNumId w:val="32"/>
  </w:num>
  <w:num w:numId="24" w16cid:durableId="1053846084">
    <w:abstractNumId w:val="7"/>
  </w:num>
  <w:num w:numId="25" w16cid:durableId="689182553">
    <w:abstractNumId w:val="20"/>
  </w:num>
  <w:num w:numId="26" w16cid:durableId="1654916327">
    <w:abstractNumId w:val="17"/>
  </w:num>
  <w:num w:numId="27" w16cid:durableId="681204860">
    <w:abstractNumId w:val="30"/>
  </w:num>
  <w:num w:numId="28" w16cid:durableId="1153764450">
    <w:abstractNumId w:val="31"/>
  </w:num>
  <w:num w:numId="29" w16cid:durableId="764615173">
    <w:abstractNumId w:val="5"/>
  </w:num>
  <w:num w:numId="30" w16cid:durableId="223492141">
    <w:abstractNumId w:val="27"/>
  </w:num>
  <w:num w:numId="31" w16cid:durableId="1865945558">
    <w:abstractNumId w:val="2"/>
  </w:num>
  <w:num w:numId="32" w16cid:durableId="624312974">
    <w:abstractNumId w:val="25"/>
  </w:num>
  <w:num w:numId="33" w16cid:durableId="1230842844">
    <w:abstractNumId w:val="35"/>
  </w:num>
  <w:num w:numId="34" w16cid:durableId="1215890493">
    <w:abstractNumId w:val="11"/>
  </w:num>
  <w:num w:numId="35" w16cid:durableId="159779868">
    <w:abstractNumId w:val="12"/>
  </w:num>
  <w:num w:numId="36" w16cid:durableId="1961104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EA"/>
    <w:rsid w:val="0000051B"/>
    <w:rsid w:val="00005572"/>
    <w:rsid w:val="00034FB0"/>
    <w:rsid w:val="000419E1"/>
    <w:rsid w:val="000560AD"/>
    <w:rsid w:val="000654ED"/>
    <w:rsid w:val="00067895"/>
    <w:rsid w:val="000922F6"/>
    <w:rsid w:val="000965BE"/>
    <w:rsid w:val="000A2453"/>
    <w:rsid w:val="000A5ABF"/>
    <w:rsid w:val="000B4310"/>
    <w:rsid w:val="000D4287"/>
    <w:rsid w:val="000E41BC"/>
    <w:rsid w:val="000E4800"/>
    <w:rsid w:val="001711D7"/>
    <w:rsid w:val="00171221"/>
    <w:rsid w:val="00184F97"/>
    <w:rsid w:val="00194C29"/>
    <w:rsid w:val="001A1A94"/>
    <w:rsid w:val="001B1498"/>
    <w:rsid w:val="001C6A0E"/>
    <w:rsid w:val="001F5307"/>
    <w:rsid w:val="00244D7D"/>
    <w:rsid w:val="00273517"/>
    <w:rsid w:val="002961D7"/>
    <w:rsid w:val="002A2B0D"/>
    <w:rsid w:val="002A7DEF"/>
    <w:rsid w:val="002B2577"/>
    <w:rsid w:val="002B4889"/>
    <w:rsid w:val="002C5F10"/>
    <w:rsid w:val="002D51FF"/>
    <w:rsid w:val="002E384F"/>
    <w:rsid w:val="002F2B7F"/>
    <w:rsid w:val="00332FFB"/>
    <w:rsid w:val="00343D0B"/>
    <w:rsid w:val="003659C7"/>
    <w:rsid w:val="00381B6F"/>
    <w:rsid w:val="00391A73"/>
    <w:rsid w:val="003975AB"/>
    <w:rsid w:val="003B4F00"/>
    <w:rsid w:val="003B7E62"/>
    <w:rsid w:val="003D1910"/>
    <w:rsid w:val="003D3E07"/>
    <w:rsid w:val="003E37A4"/>
    <w:rsid w:val="004000D7"/>
    <w:rsid w:val="0040034B"/>
    <w:rsid w:val="00403C48"/>
    <w:rsid w:val="00411429"/>
    <w:rsid w:val="00416E5A"/>
    <w:rsid w:val="00421CA3"/>
    <w:rsid w:val="00446E17"/>
    <w:rsid w:val="00460E01"/>
    <w:rsid w:val="0048120E"/>
    <w:rsid w:val="00481757"/>
    <w:rsid w:val="00485A60"/>
    <w:rsid w:val="004A71E2"/>
    <w:rsid w:val="004B0ADD"/>
    <w:rsid w:val="004B5231"/>
    <w:rsid w:val="004B7DB7"/>
    <w:rsid w:val="004F7FA7"/>
    <w:rsid w:val="00504E43"/>
    <w:rsid w:val="00520167"/>
    <w:rsid w:val="00537CAF"/>
    <w:rsid w:val="005511C1"/>
    <w:rsid w:val="00564138"/>
    <w:rsid w:val="00570865"/>
    <w:rsid w:val="00573111"/>
    <w:rsid w:val="00590253"/>
    <w:rsid w:val="00596D64"/>
    <w:rsid w:val="005A01FB"/>
    <w:rsid w:val="005B403A"/>
    <w:rsid w:val="005C4CA6"/>
    <w:rsid w:val="005D7743"/>
    <w:rsid w:val="005F17FD"/>
    <w:rsid w:val="005F6D74"/>
    <w:rsid w:val="005F70A8"/>
    <w:rsid w:val="00613B12"/>
    <w:rsid w:val="00633391"/>
    <w:rsid w:val="00637756"/>
    <w:rsid w:val="00644029"/>
    <w:rsid w:val="0064459B"/>
    <w:rsid w:val="00655E3C"/>
    <w:rsid w:val="0068630D"/>
    <w:rsid w:val="006C4D95"/>
    <w:rsid w:val="00706AA0"/>
    <w:rsid w:val="00712402"/>
    <w:rsid w:val="00740965"/>
    <w:rsid w:val="00754C36"/>
    <w:rsid w:val="007815D3"/>
    <w:rsid w:val="007825A9"/>
    <w:rsid w:val="00785299"/>
    <w:rsid w:val="007908F4"/>
    <w:rsid w:val="00790F5A"/>
    <w:rsid w:val="007A2C61"/>
    <w:rsid w:val="007C0FBF"/>
    <w:rsid w:val="007F1045"/>
    <w:rsid w:val="007F14DF"/>
    <w:rsid w:val="007F53CD"/>
    <w:rsid w:val="007F7DB9"/>
    <w:rsid w:val="007F7E1C"/>
    <w:rsid w:val="0080014B"/>
    <w:rsid w:val="0081649B"/>
    <w:rsid w:val="00835E34"/>
    <w:rsid w:val="00841A0B"/>
    <w:rsid w:val="0085471F"/>
    <w:rsid w:val="00854844"/>
    <w:rsid w:val="00880695"/>
    <w:rsid w:val="00892E39"/>
    <w:rsid w:val="0089416E"/>
    <w:rsid w:val="008A22C6"/>
    <w:rsid w:val="008C61EC"/>
    <w:rsid w:val="008D6E2F"/>
    <w:rsid w:val="008F08BD"/>
    <w:rsid w:val="00900F75"/>
    <w:rsid w:val="00911FEC"/>
    <w:rsid w:val="009135D7"/>
    <w:rsid w:val="00931101"/>
    <w:rsid w:val="00933C10"/>
    <w:rsid w:val="0095139B"/>
    <w:rsid w:val="00961D56"/>
    <w:rsid w:val="00994F12"/>
    <w:rsid w:val="009C0B56"/>
    <w:rsid w:val="009D67DD"/>
    <w:rsid w:val="00A00293"/>
    <w:rsid w:val="00A01080"/>
    <w:rsid w:val="00A03686"/>
    <w:rsid w:val="00A06B8A"/>
    <w:rsid w:val="00A236BE"/>
    <w:rsid w:val="00A25DCC"/>
    <w:rsid w:val="00A61A79"/>
    <w:rsid w:val="00A666D2"/>
    <w:rsid w:val="00A976A3"/>
    <w:rsid w:val="00AC2A1C"/>
    <w:rsid w:val="00AF1979"/>
    <w:rsid w:val="00B041EF"/>
    <w:rsid w:val="00B10FE6"/>
    <w:rsid w:val="00B35BA4"/>
    <w:rsid w:val="00B45153"/>
    <w:rsid w:val="00B77AA0"/>
    <w:rsid w:val="00B828F3"/>
    <w:rsid w:val="00B9089C"/>
    <w:rsid w:val="00BC0297"/>
    <w:rsid w:val="00BC5B6D"/>
    <w:rsid w:val="00BD500E"/>
    <w:rsid w:val="00BE0DD9"/>
    <w:rsid w:val="00BE2E97"/>
    <w:rsid w:val="00BF5AB5"/>
    <w:rsid w:val="00BF6262"/>
    <w:rsid w:val="00C07F80"/>
    <w:rsid w:val="00C32669"/>
    <w:rsid w:val="00C3467E"/>
    <w:rsid w:val="00C37730"/>
    <w:rsid w:val="00C6044A"/>
    <w:rsid w:val="00C611A2"/>
    <w:rsid w:val="00C63184"/>
    <w:rsid w:val="00C927FD"/>
    <w:rsid w:val="00CA45E5"/>
    <w:rsid w:val="00CB531B"/>
    <w:rsid w:val="00CE05D7"/>
    <w:rsid w:val="00CF1D3B"/>
    <w:rsid w:val="00D330D1"/>
    <w:rsid w:val="00D4412B"/>
    <w:rsid w:val="00D67D1E"/>
    <w:rsid w:val="00D739EA"/>
    <w:rsid w:val="00D75130"/>
    <w:rsid w:val="00DA5307"/>
    <w:rsid w:val="00DB0A56"/>
    <w:rsid w:val="00DB48C8"/>
    <w:rsid w:val="00DC2EDB"/>
    <w:rsid w:val="00DD0B18"/>
    <w:rsid w:val="00DD327B"/>
    <w:rsid w:val="00DE6040"/>
    <w:rsid w:val="00E01DC4"/>
    <w:rsid w:val="00E20E45"/>
    <w:rsid w:val="00E334A6"/>
    <w:rsid w:val="00E42859"/>
    <w:rsid w:val="00E4427C"/>
    <w:rsid w:val="00E67E24"/>
    <w:rsid w:val="00E77977"/>
    <w:rsid w:val="00EC3A76"/>
    <w:rsid w:val="00EE3AF0"/>
    <w:rsid w:val="00EF1E12"/>
    <w:rsid w:val="00F0079B"/>
    <w:rsid w:val="00F172EB"/>
    <w:rsid w:val="00F20512"/>
    <w:rsid w:val="00F35277"/>
    <w:rsid w:val="00F515EE"/>
    <w:rsid w:val="00F51BDC"/>
    <w:rsid w:val="00F86EA6"/>
    <w:rsid w:val="00F97115"/>
    <w:rsid w:val="00FA0F89"/>
    <w:rsid w:val="00FC0391"/>
    <w:rsid w:val="00FD3A85"/>
    <w:rsid w:val="00FD65F5"/>
    <w:rsid w:val="00FF45C5"/>
    <w:rsid w:val="2C3EBC8E"/>
    <w:rsid w:val="676A8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B9C1"/>
  <w15:chartTrackingRefBased/>
  <w15:docId w15:val="{12269BA4-97B6-4545-8402-6A018997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aliases w:val="aHeading"/>
    <w:basedOn w:val="Normal"/>
    <w:next w:val="Normal"/>
    <w:link w:val="Heading1Char"/>
    <w:qFormat/>
    <w:rsid w:val="00E77977"/>
    <w:pPr>
      <w:spacing w:before="240" w:after="12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4844"/>
    <w:pPr>
      <w:ind w:left="720"/>
      <w:contextualSpacing/>
    </w:pPr>
  </w:style>
  <w:style w:type="table" w:styleId="TableGrid">
    <w:name w:val="Table Grid"/>
    <w:basedOn w:val="TableNormal"/>
    <w:uiPriority w:val="59"/>
    <w:rsid w:val="00B8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65BE"/>
    <w:pPr>
      <w:spacing w:before="100" w:beforeAutospacing="1" w:after="100" w:afterAutospacing="1"/>
    </w:pPr>
    <w:rPr>
      <w:rFonts w:ascii="Times New Roman" w:eastAsiaTheme="minorEastAsia" w:hAnsi="Times New Roman" w:cs="Times New Roman"/>
      <w:lang w:eastAsia="en-GB"/>
    </w:rPr>
  </w:style>
  <w:style w:type="paragraph" w:customStyle="1" w:styleId="xxmsonormal">
    <w:name w:val="x_x_msonormal"/>
    <w:basedOn w:val="Normal"/>
    <w:uiPriority w:val="99"/>
    <w:rsid w:val="00570865"/>
    <w:rPr>
      <w:rFonts w:ascii="Calibri" w:hAnsi="Calibri" w:cs="Calibri"/>
      <w:sz w:val="22"/>
      <w:szCs w:val="22"/>
      <w:lang w:eastAsia="en-GB"/>
    </w:rPr>
  </w:style>
  <w:style w:type="paragraph" w:customStyle="1" w:styleId="Default">
    <w:name w:val="Default"/>
    <w:rsid w:val="00570865"/>
    <w:pPr>
      <w:autoSpaceDE w:val="0"/>
      <w:autoSpaceDN w:val="0"/>
      <w:adjustRightInd w:val="0"/>
    </w:pPr>
    <w:rPr>
      <w:rFonts w:ascii="Source Sans Pro Light" w:hAnsi="Source Sans Pro Light" w:cs="Source Sans Pro Light"/>
      <w:color w:val="000000"/>
    </w:rPr>
  </w:style>
  <w:style w:type="paragraph" w:customStyle="1" w:styleId="Pa0">
    <w:name w:val="Pa0"/>
    <w:basedOn w:val="Default"/>
    <w:next w:val="Default"/>
    <w:uiPriority w:val="99"/>
    <w:rsid w:val="00570865"/>
    <w:pPr>
      <w:spacing w:line="901" w:lineRule="atLeast"/>
    </w:pPr>
    <w:rPr>
      <w:rFonts w:cs="Arial"/>
      <w:color w:val="auto"/>
    </w:rPr>
  </w:style>
  <w:style w:type="character" w:customStyle="1" w:styleId="A0">
    <w:name w:val="A0"/>
    <w:uiPriority w:val="99"/>
    <w:rsid w:val="00570865"/>
    <w:rPr>
      <w:rFonts w:cs="Source Sans Pro Light"/>
      <w:color w:val="000000"/>
      <w:sz w:val="100"/>
      <w:szCs w:val="100"/>
    </w:rPr>
  </w:style>
  <w:style w:type="character" w:styleId="Hyperlink">
    <w:name w:val="Hyperlink"/>
    <w:basedOn w:val="DefaultParagraphFont"/>
    <w:uiPriority w:val="99"/>
    <w:semiHidden/>
    <w:unhideWhenUsed/>
    <w:rsid w:val="000A2453"/>
    <w:rPr>
      <w:color w:val="0000FF"/>
      <w:u w:val="single"/>
    </w:rPr>
  </w:style>
  <w:style w:type="paragraph" w:customStyle="1" w:styleId="Pa7">
    <w:name w:val="Pa7"/>
    <w:basedOn w:val="Default"/>
    <w:next w:val="Default"/>
    <w:uiPriority w:val="99"/>
    <w:rsid w:val="007C0FBF"/>
    <w:pPr>
      <w:spacing w:line="241" w:lineRule="atLeast"/>
    </w:pPr>
    <w:rPr>
      <w:rFonts w:ascii="Arial" w:hAnsi="Arial" w:cs="Arial"/>
      <w:color w:val="auto"/>
    </w:rPr>
  </w:style>
  <w:style w:type="paragraph" w:customStyle="1" w:styleId="Pa17">
    <w:name w:val="Pa17"/>
    <w:basedOn w:val="Default"/>
    <w:next w:val="Default"/>
    <w:uiPriority w:val="99"/>
    <w:rsid w:val="00DD0B18"/>
    <w:pPr>
      <w:spacing w:line="241" w:lineRule="atLeast"/>
    </w:pPr>
    <w:rPr>
      <w:rFonts w:ascii="Arial" w:hAnsi="Arial" w:cs="Arial"/>
      <w:color w:val="auto"/>
    </w:rPr>
  </w:style>
  <w:style w:type="character" w:customStyle="1" w:styleId="A3">
    <w:name w:val="A3"/>
    <w:uiPriority w:val="99"/>
    <w:rsid w:val="00DD0B18"/>
    <w:rPr>
      <w:rFonts w:cs="Arial MT Std Light"/>
      <w:color w:val="000000"/>
      <w:u w:val="single"/>
    </w:rPr>
  </w:style>
  <w:style w:type="paragraph" w:customStyle="1" w:styleId="Pa2">
    <w:name w:val="Pa2"/>
    <w:basedOn w:val="Default"/>
    <w:next w:val="Default"/>
    <w:uiPriority w:val="99"/>
    <w:rsid w:val="00DD0B18"/>
    <w:pPr>
      <w:spacing w:line="241" w:lineRule="atLeast"/>
    </w:pPr>
    <w:rPr>
      <w:rFonts w:ascii="Arial" w:hAnsi="Arial" w:cs="Arial"/>
      <w:color w:val="auto"/>
    </w:rPr>
  </w:style>
  <w:style w:type="paragraph" w:customStyle="1" w:styleId="p2">
    <w:name w:val="p2"/>
    <w:basedOn w:val="Normal"/>
    <w:rsid w:val="00D75130"/>
    <w:pPr>
      <w:spacing w:before="100" w:beforeAutospacing="1" w:after="100" w:afterAutospacing="1"/>
    </w:pPr>
    <w:rPr>
      <w:rFonts w:ascii="Times New Roman" w:hAnsi="Times New Roman" w:cs="Times New Roman"/>
      <w:lang w:eastAsia="en-GB"/>
    </w:rPr>
  </w:style>
  <w:style w:type="paragraph" w:customStyle="1" w:styleId="p3">
    <w:name w:val="p3"/>
    <w:basedOn w:val="Normal"/>
    <w:rsid w:val="00D75130"/>
    <w:pPr>
      <w:spacing w:before="100" w:beforeAutospacing="1" w:after="100" w:afterAutospacing="1"/>
    </w:pPr>
    <w:rPr>
      <w:rFonts w:ascii="Times New Roman" w:hAnsi="Times New Roman" w:cs="Times New Roman"/>
      <w:lang w:eastAsia="en-GB"/>
    </w:rPr>
  </w:style>
  <w:style w:type="character" w:customStyle="1" w:styleId="s2">
    <w:name w:val="s2"/>
    <w:basedOn w:val="DefaultParagraphFont"/>
    <w:rsid w:val="00D75130"/>
  </w:style>
  <w:style w:type="paragraph" w:styleId="Header">
    <w:name w:val="header"/>
    <w:basedOn w:val="Normal"/>
    <w:link w:val="HeaderChar"/>
    <w:uiPriority w:val="99"/>
    <w:unhideWhenUsed/>
    <w:rsid w:val="00D75130"/>
    <w:pPr>
      <w:tabs>
        <w:tab w:val="center" w:pos="4513"/>
        <w:tab w:val="right" w:pos="9026"/>
      </w:tabs>
    </w:pPr>
  </w:style>
  <w:style w:type="character" w:customStyle="1" w:styleId="HeaderChar">
    <w:name w:val="Header Char"/>
    <w:basedOn w:val="DefaultParagraphFont"/>
    <w:link w:val="Header"/>
    <w:uiPriority w:val="99"/>
    <w:rsid w:val="00D75130"/>
  </w:style>
  <w:style w:type="paragraph" w:styleId="Footer">
    <w:name w:val="footer"/>
    <w:basedOn w:val="Normal"/>
    <w:link w:val="FooterChar"/>
    <w:uiPriority w:val="99"/>
    <w:unhideWhenUsed/>
    <w:rsid w:val="00D75130"/>
    <w:pPr>
      <w:tabs>
        <w:tab w:val="center" w:pos="4513"/>
        <w:tab w:val="right" w:pos="9026"/>
      </w:tabs>
    </w:pPr>
  </w:style>
  <w:style w:type="character" w:customStyle="1" w:styleId="FooterChar">
    <w:name w:val="Footer Char"/>
    <w:basedOn w:val="DefaultParagraphFont"/>
    <w:link w:val="Footer"/>
    <w:uiPriority w:val="99"/>
    <w:rsid w:val="00D75130"/>
  </w:style>
  <w:style w:type="character" w:customStyle="1" w:styleId="Firstpagetablebold">
    <w:name w:val="First page table: bold"/>
    <w:qFormat/>
    <w:rsid w:val="009C0B56"/>
    <w:rPr>
      <w:rFonts w:ascii="Arial" w:hAnsi="Arial"/>
      <w:b/>
      <w:sz w:val="24"/>
    </w:rPr>
  </w:style>
  <w:style w:type="character" w:customStyle="1" w:styleId="Heading1Char">
    <w:name w:val="Heading 1 Char"/>
    <w:aliases w:val="aHeading Char"/>
    <w:basedOn w:val="DefaultParagraphFont"/>
    <w:link w:val="Heading1"/>
    <w:rsid w:val="00E77977"/>
    <w:rPr>
      <w:rFonts w:eastAsia="Times New Roman" w:cs="Times New Roman"/>
      <w:b/>
      <w:color w:val="000000"/>
      <w:lang w:eastAsia="en-GB"/>
    </w:rPr>
  </w:style>
  <w:style w:type="character" w:customStyle="1" w:styleId="ListParagraphChar">
    <w:name w:val="List Paragraph Char"/>
    <w:link w:val="ListParagraph"/>
    <w:uiPriority w:val="34"/>
    <w:rsid w:val="00E77977"/>
  </w:style>
  <w:style w:type="paragraph" w:customStyle="1" w:styleId="bParagraphtext">
    <w:name w:val="bParagraph text"/>
    <w:basedOn w:val="ListParagraph"/>
    <w:link w:val="bParagraphtextChar"/>
    <w:qFormat/>
    <w:rsid w:val="00FF45C5"/>
    <w:pPr>
      <w:numPr>
        <w:numId w:val="14"/>
      </w:numPr>
      <w:tabs>
        <w:tab w:val="left" w:pos="426"/>
      </w:tabs>
      <w:spacing w:after="120"/>
      <w:contextualSpacing w:val="0"/>
    </w:pPr>
    <w:rPr>
      <w:rFonts w:eastAsia="Times New Roman" w:cs="Times New Roman"/>
      <w:color w:val="000000"/>
      <w:lang w:eastAsia="en-GB"/>
    </w:rPr>
  </w:style>
  <w:style w:type="character" w:customStyle="1" w:styleId="bParagraphtextChar">
    <w:name w:val="bParagraph text Char"/>
    <w:link w:val="bParagraphtext"/>
    <w:rsid w:val="00FF45C5"/>
    <w:rPr>
      <w:rFonts w:eastAsia="Times New Roman" w:cs="Times New Roman"/>
      <w:color w:val="000000"/>
      <w:lang w:eastAsia="en-GB"/>
    </w:rPr>
  </w:style>
  <w:style w:type="character" w:styleId="CommentReference">
    <w:name w:val="annotation reference"/>
    <w:basedOn w:val="DefaultParagraphFont"/>
    <w:uiPriority w:val="99"/>
    <w:semiHidden/>
    <w:unhideWhenUsed/>
    <w:rsid w:val="005F70A8"/>
    <w:rPr>
      <w:sz w:val="16"/>
      <w:szCs w:val="16"/>
    </w:rPr>
  </w:style>
  <w:style w:type="paragraph" w:styleId="CommentText">
    <w:name w:val="annotation text"/>
    <w:basedOn w:val="Normal"/>
    <w:link w:val="CommentTextChar"/>
    <w:uiPriority w:val="99"/>
    <w:unhideWhenUsed/>
    <w:rsid w:val="005F70A8"/>
    <w:rPr>
      <w:sz w:val="20"/>
      <w:szCs w:val="20"/>
    </w:rPr>
  </w:style>
  <w:style w:type="character" w:customStyle="1" w:styleId="CommentTextChar">
    <w:name w:val="Comment Text Char"/>
    <w:basedOn w:val="DefaultParagraphFont"/>
    <w:link w:val="CommentText"/>
    <w:uiPriority w:val="99"/>
    <w:rsid w:val="005F70A8"/>
    <w:rPr>
      <w:sz w:val="20"/>
      <w:szCs w:val="20"/>
    </w:rPr>
  </w:style>
  <w:style w:type="paragraph" w:styleId="CommentSubject">
    <w:name w:val="annotation subject"/>
    <w:basedOn w:val="CommentText"/>
    <w:next w:val="CommentText"/>
    <w:link w:val="CommentSubjectChar"/>
    <w:uiPriority w:val="99"/>
    <w:semiHidden/>
    <w:unhideWhenUsed/>
    <w:rsid w:val="005F70A8"/>
    <w:rPr>
      <w:b/>
      <w:bCs/>
    </w:rPr>
  </w:style>
  <w:style w:type="character" w:customStyle="1" w:styleId="CommentSubjectChar">
    <w:name w:val="Comment Subject Char"/>
    <w:basedOn w:val="CommentTextChar"/>
    <w:link w:val="CommentSubject"/>
    <w:uiPriority w:val="99"/>
    <w:semiHidden/>
    <w:rsid w:val="005F70A8"/>
    <w:rPr>
      <w:b/>
      <w:bCs/>
      <w:sz w:val="20"/>
      <w:szCs w:val="20"/>
    </w:rPr>
  </w:style>
  <w:style w:type="paragraph" w:styleId="BalloonText">
    <w:name w:val="Balloon Text"/>
    <w:basedOn w:val="Normal"/>
    <w:link w:val="BalloonTextChar"/>
    <w:uiPriority w:val="99"/>
    <w:semiHidden/>
    <w:unhideWhenUsed/>
    <w:rsid w:val="005F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A8"/>
    <w:rPr>
      <w:rFonts w:ascii="Segoe UI" w:hAnsi="Segoe UI" w:cs="Segoe UI"/>
      <w:sz w:val="18"/>
      <w:szCs w:val="18"/>
    </w:rPr>
  </w:style>
  <w:style w:type="paragraph" w:styleId="Revision">
    <w:name w:val="Revision"/>
    <w:hidden/>
    <w:uiPriority w:val="99"/>
    <w:semiHidden/>
    <w:rsid w:val="0048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0589">
      <w:bodyDiv w:val="1"/>
      <w:marLeft w:val="0"/>
      <w:marRight w:val="0"/>
      <w:marTop w:val="0"/>
      <w:marBottom w:val="0"/>
      <w:divBdr>
        <w:top w:val="none" w:sz="0" w:space="0" w:color="auto"/>
        <w:left w:val="none" w:sz="0" w:space="0" w:color="auto"/>
        <w:bottom w:val="none" w:sz="0" w:space="0" w:color="auto"/>
        <w:right w:val="none" w:sz="0" w:space="0" w:color="auto"/>
      </w:divBdr>
    </w:div>
    <w:div w:id="295181526">
      <w:bodyDiv w:val="1"/>
      <w:marLeft w:val="0"/>
      <w:marRight w:val="0"/>
      <w:marTop w:val="0"/>
      <w:marBottom w:val="0"/>
      <w:divBdr>
        <w:top w:val="none" w:sz="0" w:space="0" w:color="auto"/>
        <w:left w:val="none" w:sz="0" w:space="0" w:color="auto"/>
        <w:bottom w:val="none" w:sz="0" w:space="0" w:color="auto"/>
        <w:right w:val="none" w:sz="0" w:space="0" w:color="auto"/>
      </w:divBdr>
    </w:div>
    <w:div w:id="308943716">
      <w:bodyDiv w:val="1"/>
      <w:marLeft w:val="0"/>
      <w:marRight w:val="0"/>
      <w:marTop w:val="0"/>
      <w:marBottom w:val="0"/>
      <w:divBdr>
        <w:top w:val="none" w:sz="0" w:space="0" w:color="auto"/>
        <w:left w:val="none" w:sz="0" w:space="0" w:color="auto"/>
        <w:bottom w:val="none" w:sz="0" w:space="0" w:color="auto"/>
        <w:right w:val="none" w:sz="0" w:space="0" w:color="auto"/>
      </w:divBdr>
    </w:div>
    <w:div w:id="310403279">
      <w:bodyDiv w:val="1"/>
      <w:marLeft w:val="0"/>
      <w:marRight w:val="0"/>
      <w:marTop w:val="0"/>
      <w:marBottom w:val="0"/>
      <w:divBdr>
        <w:top w:val="none" w:sz="0" w:space="0" w:color="auto"/>
        <w:left w:val="none" w:sz="0" w:space="0" w:color="auto"/>
        <w:bottom w:val="none" w:sz="0" w:space="0" w:color="auto"/>
        <w:right w:val="none" w:sz="0" w:space="0" w:color="auto"/>
      </w:divBdr>
      <w:divsChild>
        <w:div w:id="1295284253">
          <w:marLeft w:val="360"/>
          <w:marRight w:val="0"/>
          <w:marTop w:val="200"/>
          <w:marBottom w:val="0"/>
          <w:divBdr>
            <w:top w:val="none" w:sz="0" w:space="0" w:color="auto"/>
            <w:left w:val="none" w:sz="0" w:space="0" w:color="auto"/>
            <w:bottom w:val="none" w:sz="0" w:space="0" w:color="auto"/>
            <w:right w:val="none" w:sz="0" w:space="0" w:color="auto"/>
          </w:divBdr>
        </w:div>
        <w:div w:id="320502052">
          <w:marLeft w:val="360"/>
          <w:marRight w:val="0"/>
          <w:marTop w:val="200"/>
          <w:marBottom w:val="0"/>
          <w:divBdr>
            <w:top w:val="none" w:sz="0" w:space="0" w:color="auto"/>
            <w:left w:val="none" w:sz="0" w:space="0" w:color="auto"/>
            <w:bottom w:val="none" w:sz="0" w:space="0" w:color="auto"/>
            <w:right w:val="none" w:sz="0" w:space="0" w:color="auto"/>
          </w:divBdr>
        </w:div>
      </w:divsChild>
    </w:div>
    <w:div w:id="316767309">
      <w:bodyDiv w:val="1"/>
      <w:marLeft w:val="0"/>
      <w:marRight w:val="0"/>
      <w:marTop w:val="0"/>
      <w:marBottom w:val="0"/>
      <w:divBdr>
        <w:top w:val="none" w:sz="0" w:space="0" w:color="auto"/>
        <w:left w:val="none" w:sz="0" w:space="0" w:color="auto"/>
        <w:bottom w:val="none" w:sz="0" w:space="0" w:color="auto"/>
        <w:right w:val="none" w:sz="0" w:space="0" w:color="auto"/>
      </w:divBdr>
      <w:divsChild>
        <w:div w:id="1980110534">
          <w:marLeft w:val="360"/>
          <w:marRight w:val="0"/>
          <w:marTop w:val="200"/>
          <w:marBottom w:val="0"/>
          <w:divBdr>
            <w:top w:val="none" w:sz="0" w:space="0" w:color="auto"/>
            <w:left w:val="none" w:sz="0" w:space="0" w:color="auto"/>
            <w:bottom w:val="none" w:sz="0" w:space="0" w:color="auto"/>
            <w:right w:val="none" w:sz="0" w:space="0" w:color="auto"/>
          </w:divBdr>
        </w:div>
        <w:div w:id="617685109">
          <w:marLeft w:val="360"/>
          <w:marRight w:val="0"/>
          <w:marTop w:val="200"/>
          <w:marBottom w:val="0"/>
          <w:divBdr>
            <w:top w:val="none" w:sz="0" w:space="0" w:color="auto"/>
            <w:left w:val="none" w:sz="0" w:space="0" w:color="auto"/>
            <w:bottom w:val="none" w:sz="0" w:space="0" w:color="auto"/>
            <w:right w:val="none" w:sz="0" w:space="0" w:color="auto"/>
          </w:divBdr>
        </w:div>
        <w:div w:id="661928411">
          <w:marLeft w:val="360"/>
          <w:marRight w:val="0"/>
          <w:marTop w:val="200"/>
          <w:marBottom w:val="0"/>
          <w:divBdr>
            <w:top w:val="none" w:sz="0" w:space="0" w:color="auto"/>
            <w:left w:val="none" w:sz="0" w:space="0" w:color="auto"/>
            <w:bottom w:val="none" w:sz="0" w:space="0" w:color="auto"/>
            <w:right w:val="none" w:sz="0" w:space="0" w:color="auto"/>
          </w:divBdr>
        </w:div>
        <w:div w:id="906722670">
          <w:marLeft w:val="360"/>
          <w:marRight w:val="0"/>
          <w:marTop w:val="200"/>
          <w:marBottom w:val="0"/>
          <w:divBdr>
            <w:top w:val="none" w:sz="0" w:space="0" w:color="auto"/>
            <w:left w:val="none" w:sz="0" w:space="0" w:color="auto"/>
            <w:bottom w:val="none" w:sz="0" w:space="0" w:color="auto"/>
            <w:right w:val="none" w:sz="0" w:space="0" w:color="auto"/>
          </w:divBdr>
        </w:div>
        <w:div w:id="855577274">
          <w:marLeft w:val="360"/>
          <w:marRight w:val="0"/>
          <w:marTop w:val="200"/>
          <w:marBottom w:val="0"/>
          <w:divBdr>
            <w:top w:val="none" w:sz="0" w:space="0" w:color="auto"/>
            <w:left w:val="none" w:sz="0" w:space="0" w:color="auto"/>
            <w:bottom w:val="none" w:sz="0" w:space="0" w:color="auto"/>
            <w:right w:val="none" w:sz="0" w:space="0" w:color="auto"/>
          </w:divBdr>
        </w:div>
        <w:div w:id="659582026">
          <w:marLeft w:val="360"/>
          <w:marRight w:val="0"/>
          <w:marTop w:val="200"/>
          <w:marBottom w:val="0"/>
          <w:divBdr>
            <w:top w:val="none" w:sz="0" w:space="0" w:color="auto"/>
            <w:left w:val="none" w:sz="0" w:space="0" w:color="auto"/>
            <w:bottom w:val="none" w:sz="0" w:space="0" w:color="auto"/>
            <w:right w:val="none" w:sz="0" w:space="0" w:color="auto"/>
          </w:divBdr>
        </w:div>
        <w:div w:id="1035737030">
          <w:marLeft w:val="360"/>
          <w:marRight w:val="0"/>
          <w:marTop w:val="200"/>
          <w:marBottom w:val="0"/>
          <w:divBdr>
            <w:top w:val="none" w:sz="0" w:space="0" w:color="auto"/>
            <w:left w:val="none" w:sz="0" w:space="0" w:color="auto"/>
            <w:bottom w:val="none" w:sz="0" w:space="0" w:color="auto"/>
            <w:right w:val="none" w:sz="0" w:space="0" w:color="auto"/>
          </w:divBdr>
        </w:div>
      </w:divsChild>
    </w:div>
    <w:div w:id="331950870">
      <w:bodyDiv w:val="1"/>
      <w:marLeft w:val="0"/>
      <w:marRight w:val="0"/>
      <w:marTop w:val="0"/>
      <w:marBottom w:val="0"/>
      <w:divBdr>
        <w:top w:val="none" w:sz="0" w:space="0" w:color="auto"/>
        <w:left w:val="none" w:sz="0" w:space="0" w:color="auto"/>
        <w:bottom w:val="none" w:sz="0" w:space="0" w:color="auto"/>
        <w:right w:val="none" w:sz="0" w:space="0" w:color="auto"/>
      </w:divBdr>
      <w:divsChild>
        <w:div w:id="1698583484">
          <w:marLeft w:val="547"/>
          <w:marRight w:val="0"/>
          <w:marTop w:val="0"/>
          <w:marBottom w:val="135"/>
          <w:divBdr>
            <w:top w:val="none" w:sz="0" w:space="0" w:color="auto"/>
            <w:left w:val="none" w:sz="0" w:space="0" w:color="auto"/>
            <w:bottom w:val="none" w:sz="0" w:space="0" w:color="auto"/>
            <w:right w:val="none" w:sz="0" w:space="0" w:color="auto"/>
          </w:divBdr>
        </w:div>
        <w:div w:id="960041038">
          <w:marLeft w:val="2765"/>
          <w:marRight w:val="0"/>
          <w:marTop w:val="56"/>
          <w:marBottom w:val="0"/>
          <w:divBdr>
            <w:top w:val="none" w:sz="0" w:space="0" w:color="auto"/>
            <w:left w:val="none" w:sz="0" w:space="0" w:color="auto"/>
            <w:bottom w:val="none" w:sz="0" w:space="0" w:color="auto"/>
            <w:right w:val="none" w:sz="0" w:space="0" w:color="auto"/>
          </w:divBdr>
        </w:div>
      </w:divsChild>
    </w:div>
    <w:div w:id="474882439">
      <w:bodyDiv w:val="1"/>
      <w:marLeft w:val="0"/>
      <w:marRight w:val="0"/>
      <w:marTop w:val="0"/>
      <w:marBottom w:val="0"/>
      <w:divBdr>
        <w:top w:val="none" w:sz="0" w:space="0" w:color="auto"/>
        <w:left w:val="none" w:sz="0" w:space="0" w:color="auto"/>
        <w:bottom w:val="none" w:sz="0" w:space="0" w:color="auto"/>
        <w:right w:val="none" w:sz="0" w:space="0" w:color="auto"/>
      </w:divBdr>
    </w:div>
    <w:div w:id="520556155">
      <w:bodyDiv w:val="1"/>
      <w:marLeft w:val="0"/>
      <w:marRight w:val="0"/>
      <w:marTop w:val="0"/>
      <w:marBottom w:val="0"/>
      <w:divBdr>
        <w:top w:val="none" w:sz="0" w:space="0" w:color="auto"/>
        <w:left w:val="none" w:sz="0" w:space="0" w:color="auto"/>
        <w:bottom w:val="none" w:sz="0" w:space="0" w:color="auto"/>
        <w:right w:val="none" w:sz="0" w:space="0" w:color="auto"/>
      </w:divBdr>
    </w:div>
    <w:div w:id="537012743">
      <w:bodyDiv w:val="1"/>
      <w:marLeft w:val="0"/>
      <w:marRight w:val="0"/>
      <w:marTop w:val="0"/>
      <w:marBottom w:val="0"/>
      <w:divBdr>
        <w:top w:val="none" w:sz="0" w:space="0" w:color="auto"/>
        <w:left w:val="none" w:sz="0" w:space="0" w:color="auto"/>
        <w:bottom w:val="none" w:sz="0" w:space="0" w:color="auto"/>
        <w:right w:val="none" w:sz="0" w:space="0" w:color="auto"/>
      </w:divBdr>
    </w:div>
    <w:div w:id="660890570">
      <w:bodyDiv w:val="1"/>
      <w:marLeft w:val="0"/>
      <w:marRight w:val="0"/>
      <w:marTop w:val="0"/>
      <w:marBottom w:val="0"/>
      <w:divBdr>
        <w:top w:val="none" w:sz="0" w:space="0" w:color="auto"/>
        <w:left w:val="none" w:sz="0" w:space="0" w:color="auto"/>
        <w:bottom w:val="none" w:sz="0" w:space="0" w:color="auto"/>
        <w:right w:val="none" w:sz="0" w:space="0" w:color="auto"/>
      </w:divBdr>
    </w:div>
    <w:div w:id="719789363">
      <w:bodyDiv w:val="1"/>
      <w:marLeft w:val="0"/>
      <w:marRight w:val="0"/>
      <w:marTop w:val="0"/>
      <w:marBottom w:val="0"/>
      <w:divBdr>
        <w:top w:val="none" w:sz="0" w:space="0" w:color="auto"/>
        <w:left w:val="none" w:sz="0" w:space="0" w:color="auto"/>
        <w:bottom w:val="none" w:sz="0" w:space="0" w:color="auto"/>
        <w:right w:val="none" w:sz="0" w:space="0" w:color="auto"/>
      </w:divBdr>
    </w:div>
    <w:div w:id="753359718">
      <w:bodyDiv w:val="1"/>
      <w:marLeft w:val="0"/>
      <w:marRight w:val="0"/>
      <w:marTop w:val="0"/>
      <w:marBottom w:val="0"/>
      <w:divBdr>
        <w:top w:val="none" w:sz="0" w:space="0" w:color="auto"/>
        <w:left w:val="none" w:sz="0" w:space="0" w:color="auto"/>
        <w:bottom w:val="none" w:sz="0" w:space="0" w:color="auto"/>
        <w:right w:val="none" w:sz="0" w:space="0" w:color="auto"/>
      </w:divBdr>
      <w:divsChild>
        <w:div w:id="587807923">
          <w:marLeft w:val="446"/>
          <w:marRight w:val="0"/>
          <w:marTop w:val="0"/>
          <w:marBottom w:val="135"/>
          <w:divBdr>
            <w:top w:val="none" w:sz="0" w:space="0" w:color="auto"/>
            <w:left w:val="none" w:sz="0" w:space="0" w:color="auto"/>
            <w:bottom w:val="none" w:sz="0" w:space="0" w:color="auto"/>
            <w:right w:val="none" w:sz="0" w:space="0" w:color="auto"/>
          </w:divBdr>
        </w:div>
        <w:div w:id="441851392">
          <w:marLeft w:val="446"/>
          <w:marRight w:val="0"/>
          <w:marTop w:val="0"/>
          <w:marBottom w:val="135"/>
          <w:divBdr>
            <w:top w:val="none" w:sz="0" w:space="0" w:color="auto"/>
            <w:left w:val="none" w:sz="0" w:space="0" w:color="auto"/>
            <w:bottom w:val="none" w:sz="0" w:space="0" w:color="auto"/>
            <w:right w:val="none" w:sz="0" w:space="0" w:color="auto"/>
          </w:divBdr>
        </w:div>
        <w:div w:id="1274825350">
          <w:marLeft w:val="446"/>
          <w:marRight w:val="0"/>
          <w:marTop w:val="0"/>
          <w:marBottom w:val="135"/>
          <w:divBdr>
            <w:top w:val="none" w:sz="0" w:space="0" w:color="auto"/>
            <w:left w:val="none" w:sz="0" w:space="0" w:color="auto"/>
            <w:bottom w:val="none" w:sz="0" w:space="0" w:color="auto"/>
            <w:right w:val="none" w:sz="0" w:space="0" w:color="auto"/>
          </w:divBdr>
        </w:div>
        <w:div w:id="1819346689">
          <w:marLeft w:val="446"/>
          <w:marRight w:val="0"/>
          <w:marTop w:val="0"/>
          <w:marBottom w:val="135"/>
          <w:divBdr>
            <w:top w:val="none" w:sz="0" w:space="0" w:color="auto"/>
            <w:left w:val="none" w:sz="0" w:space="0" w:color="auto"/>
            <w:bottom w:val="none" w:sz="0" w:space="0" w:color="auto"/>
            <w:right w:val="none" w:sz="0" w:space="0" w:color="auto"/>
          </w:divBdr>
        </w:div>
        <w:div w:id="991056121">
          <w:marLeft w:val="446"/>
          <w:marRight w:val="0"/>
          <w:marTop w:val="0"/>
          <w:marBottom w:val="135"/>
          <w:divBdr>
            <w:top w:val="none" w:sz="0" w:space="0" w:color="auto"/>
            <w:left w:val="none" w:sz="0" w:space="0" w:color="auto"/>
            <w:bottom w:val="none" w:sz="0" w:space="0" w:color="auto"/>
            <w:right w:val="none" w:sz="0" w:space="0" w:color="auto"/>
          </w:divBdr>
        </w:div>
        <w:div w:id="1445805175">
          <w:marLeft w:val="446"/>
          <w:marRight w:val="0"/>
          <w:marTop w:val="0"/>
          <w:marBottom w:val="135"/>
          <w:divBdr>
            <w:top w:val="none" w:sz="0" w:space="0" w:color="auto"/>
            <w:left w:val="none" w:sz="0" w:space="0" w:color="auto"/>
            <w:bottom w:val="none" w:sz="0" w:space="0" w:color="auto"/>
            <w:right w:val="none" w:sz="0" w:space="0" w:color="auto"/>
          </w:divBdr>
        </w:div>
        <w:div w:id="2023313071">
          <w:marLeft w:val="446"/>
          <w:marRight w:val="0"/>
          <w:marTop w:val="0"/>
          <w:marBottom w:val="135"/>
          <w:divBdr>
            <w:top w:val="none" w:sz="0" w:space="0" w:color="auto"/>
            <w:left w:val="none" w:sz="0" w:space="0" w:color="auto"/>
            <w:bottom w:val="none" w:sz="0" w:space="0" w:color="auto"/>
            <w:right w:val="none" w:sz="0" w:space="0" w:color="auto"/>
          </w:divBdr>
        </w:div>
      </w:divsChild>
    </w:div>
    <w:div w:id="791943616">
      <w:bodyDiv w:val="1"/>
      <w:marLeft w:val="0"/>
      <w:marRight w:val="0"/>
      <w:marTop w:val="0"/>
      <w:marBottom w:val="0"/>
      <w:divBdr>
        <w:top w:val="none" w:sz="0" w:space="0" w:color="auto"/>
        <w:left w:val="none" w:sz="0" w:space="0" w:color="auto"/>
        <w:bottom w:val="none" w:sz="0" w:space="0" w:color="auto"/>
        <w:right w:val="none" w:sz="0" w:space="0" w:color="auto"/>
      </w:divBdr>
    </w:div>
    <w:div w:id="1139494793">
      <w:bodyDiv w:val="1"/>
      <w:marLeft w:val="0"/>
      <w:marRight w:val="0"/>
      <w:marTop w:val="0"/>
      <w:marBottom w:val="0"/>
      <w:divBdr>
        <w:top w:val="none" w:sz="0" w:space="0" w:color="auto"/>
        <w:left w:val="none" w:sz="0" w:space="0" w:color="auto"/>
        <w:bottom w:val="none" w:sz="0" w:space="0" w:color="auto"/>
        <w:right w:val="none" w:sz="0" w:space="0" w:color="auto"/>
      </w:divBdr>
    </w:div>
    <w:div w:id="1249773399">
      <w:bodyDiv w:val="1"/>
      <w:marLeft w:val="0"/>
      <w:marRight w:val="0"/>
      <w:marTop w:val="0"/>
      <w:marBottom w:val="0"/>
      <w:divBdr>
        <w:top w:val="none" w:sz="0" w:space="0" w:color="auto"/>
        <w:left w:val="none" w:sz="0" w:space="0" w:color="auto"/>
        <w:bottom w:val="none" w:sz="0" w:space="0" w:color="auto"/>
        <w:right w:val="none" w:sz="0" w:space="0" w:color="auto"/>
      </w:divBdr>
    </w:div>
    <w:div w:id="1459686136">
      <w:bodyDiv w:val="1"/>
      <w:marLeft w:val="0"/>
      <w:marRight w:val="0"/>
      <w:marTop w:val="0"/>
      <w:marBottom w:val="0"/>
      <w:divBdr>
        <w:top w:val="none" w:sz="0" w:space="0" w:color="auto"/>
        <w:left w:val="none" w:sz="0" w:space="0" w:color="auto"/>
        <w:bottom w:val="none" w:sz="0" w:space="0" w:color="auto"/>
        <w:right w:val="none" w:sz="0" w:space="0" w:color="auto"/>
      </w:divBdr>
      <w:divsChild>
        <w:div w:id="9531346">
          <w:marLeft w:val="360"/>
          <w:marRight w:val="0"/>
          <w:marTop w:val="200"/>
          <w:marBottom w:val="0"/>
          <w:divBdr>
            <w:top w:val="none" w:sz="0" w:space="0" w:color="auto"/>
            <w:left w:val="none" w:sz="0" w:space="0" w:color="auto"/>
            <w:bottom w:val="none" w:sz="0" w:space="0" w:color="auto"/>
            <w:right w:val="none" w:sz="0" w:space="0" w:color="auto"/>
          </w:divBdr>
        </w:div>
        <w:div w:id="2072922582">
          <w:marLeft w:val="1080"/>
          <w:marRight w:val="0"/>
          <w:marTop w:val="100"/>
          <w:marBottom w:val="0"/>
          <w:divBdr>
            <w:top w:val="none" w:sz="0" w:space="0" w:color="auto"/>
            <w:left w:val="none" w:sz="0" w:space="0" w:color="auto"/>
            <w:bottom w:val="none" w:sz="0" w:space="0" w:color="auto"/>
            <w:right w:val="none" w:sz="0" w:space="0" w:color="auto"/>
          </w:divBdr>
        </w:div>
        <w:div w:id="875505218">
          <w:marLeft w:val="1080"/>
          <w:marRight w:val="0"/>
          <w:marTop w:val="100"/>
          <w:marBottom w:val="0"/>
          <w:divBdr>
            <w:top w:val="none" w:sz="0" w:space="0" w:color="auto"/>
            <w:left w:val="none" w:sz="0" w:space="0" w:color="auto"/>
            <w:bottom w:val="none" w:sz="0" w:space="0" w:color="auto"/>
            <w:right w:val="none" w:sz="0" w:space="0" w:color="auto"/>
          </w:divBdr>
        </w:div>
        <w:div w:id="1512405971">
          <w:marLeft w:val="1080"/>
          <w:marRight w:val="0"/>
          <w:marTop w:val="100"/>
          <w:marBottom w:val="0"/>
          <w:divBdr>
            <w:top w:val="none" w:sz="0" w:space="0" w:color="auto"/>
            <w:left w:val="none" w:sz="0" w:space="0" w:color="auto"/>
            <w:bottom w:val="none" w:sz="0" w:space="0" w:color="auto"/>
            <w:right w:val="none" w:sz="0" w:space="0" w:color="auto"/>
          </w:divBdr>
        </w:div>
        <w:div w:id="1971788339">
          <w:marLeft w:val="1080"/>
          <w:marRight w:val="0"/>
          <w:marTop w:val="100"/>
          <w:marBottom w:val="0"/>
          <w:divBdr>
            <w:top w:val="none" w:sz="0" w:space="0" w:color="auto"/>
            <w:left w:val="none" w:sz="0" w:space="0" w:color="auto"/>
            <w:bottom w:val="none" w:sz="0" w:space="0" w:color="auto"/>
            <w:right w:val="none" w:sz="0" w:space="0" w:color="auto"/>
          </w:divBdr>
        </w:div>
        <w:div w:id="1558978709">
          <w:marLeft w:val="1800"/>
          <w:marRight w:val="0"/>
          <w:marTop w:val="100"/>
          <w:marBottom w:val="0"/>
          <w:divBdr>
            <w:top w:val="none" w:sz="0" w:space="0" w:color="auto"/>
            <w:left w:val="none" w:sz="0" w:space="0" w:color="auto"/>
            <w:bottom w:val="none" w:sz="0" w:space="0" w:color="auto"/>
            <w:right w:val="none" w:sz="0" w:space="0" w:color="auto"/>
          </w:divBdr>
        </w:div>
        <w:div w:id="1783761141">
          <w:marLeft w:val="1080"/>
          <w:marRight w:val="0"/>
          <w:marTop w:val="100"/>
          <w:marBottom w:val="0"/>
          <w:divBdr>
            <w:top w:val="none" w:sz="0" w:space="0" w:color="auto"/>
            <w:left w:val="none" w:sz="0" w:space="0" w:color="auto"/>
            <w:bottom w:val="none" w:sz="0" w:space="0" w:color="auto"/>
            <w:right w:val="none" w:sz="0" w:space="0" w:color="auto"/>
          </w:divBdr>
        </w:div>
        <w:div w:id="1405764788">
          <w:marLeft w:val="1080"/>
          <w:marRight w:val="0"/>
          <w:marTop w:val="100"/>
          <w:marBottom w:val="0"/>
          <w:divBdr>
            <w:top w:val="none" w:sz="0" w:space="0" w:color="auto"/>
            <w:left w:val="none" w:sz="0" w:space="0" w:color="auto"/>
            <w:bottom w:val="none" w:sz="0" w:space="0" w:color="auto"/>
            <w:right w:val="none" w:sz="0" w:space="0" w:color="auto"/>
          </w:divBdr>
        </w:div>
        <w:div w:id="1625112944">
          <w:marLeft w:val="1080"/>
          <w:marRight w:val="0"/>
          <w:marTop w:val="100"/>
          <w:marBottom w:val="0"/>
          <w:divBdr>
            <w:top w:val="none" w:sz="0" w:space="0" w:color="auto"/>
            <w:left w:val="none" w:sz="0" w:space="0" w:color="auto"/>
            <w:bottom w:val="none" w:sz="0" w:space="0" w:color="auto"/>
            <w:right w:val="none" w:sz="0" w:space="0" w:color="auto"/>
          </w:divBdr>
        </w:div>
        <w:div w:id="1136677595">
          <w:marLeft w:val="1080"/>
          <w:marRight w:val="0"/>
          <w:marTop w:val="100"/>
          <w:marBottom w:val="0"/>
          <w:divBdr>
            <w:top w:val="none" w:sz="0" w:space="0" w:color="auto"/>
            <w:left w:val="none" w:sz="0" w:space="0" w:color="auto"/>
            <w:bottom w:val="none" w:sz="0" w:space="0" w:color="auto"/>
            <w:right w:val="none" w:sz="0" w:space="0" w:color="auto"/>
          </w:divBdr>
        </w:div>
        <w:div w:id="144904094">
          <w:marLeft w:val="1080"/>
          <w:marRight w:val="0"/>
          <w:marTop w:val="100"/>
          <w:marBottom w:val="0"/>
          <w:divBdr>
            <w:top w:val="none" w:sz="0" w:space="0" w:color="auto"/>
            <w:left w:val="none" w:sz="0" w:space="0" w:color="auto"/>
            <w:bottom w:val="none" w:sz="0" w:space="0" w:color="auto"/>
            <w:right w:val="none" w:sz="0" w:space="0" w:color="auto"/>
          </w:divBdr>
        </w:div>
        <w:div w:id="1585606876">
          <w:marLeft w:val="1080"/>
          <w:marRight w:val="0"/>
          <w:marTop w:val="100"/>
          <w:marBottom w:val="0"/>
          <w:divBdr>
            <w:top w:val="none" w:sz="0" w:space="0" w:color="auto"/>
            <w:left w:val="none" w:sz="0" w:space="0" w:color="auto"/>
            <w:bottom w:val="none" w:sz="0" w:space="0" w:color="auto"/>
            <w:right w:val="none" w:sz="0" w:space="0" w:color="auto"/>
          </w:divBdr>
        </w:div>
      </w:divsChild>
    </w:div>
    <w:div w:id="1641501407">
      <w:bodyDiv w:val="1"/>
      <w:marLeft w:val="0"/>
      <w:marRight w:val="0"/>
      <w:marTop w:val="0"/>
      <w:marBottom w:val="0"/>
      <w:divBdr>
        <w:top w:val="none" w:sz="0" w:space="0" w:color="auto"/>
        <w:left w:val="none" w:sz="0" w:space="0" w:color="auto"/>
        <w:bottom w:val="none" w:sz="0" w:space="0" w:color="auto"/>
        <w:right w:val="none" w:sz="0" w:space="0" w:color="auto"/>
      </w:divBdr>
      <w:divsChild>
        <w:div w:id="548148536">
          <w:marLeft w:val="1080"/>
          <w:marRight w:val="0"/>
          <w:marTop w:val="100"/>
          <w:marBottom w:val="0"/>
          <w:divBdr>
            <w:top w:val="none" w:sz="0" w:space="0" w:color="auto"/>
            <w:left w:val="none" w:sz="0" w:space="0" w:color="auto"/>
            <w:bottom w:val="none" w:sz="0" w:space="0" w:color="auto"/>
            <w:right w:val="none" w:sz="0" w:space="0" w:color="auto"/>
          </w:divBdr>
        </w:div>
        <w:div w:id="160242746">
          <w:marLeft w:val="1080"/>
          <w:marRight w:val="0"/>
          <w:marTop w:val="100"/>
          <w:marBottom w:val="0"/>
          <w:divBdr>
            <w:top w:val="none" w:sz="0" w:space="0" w:color="auto"/>
            <w:left w:val="none" w:sz="0" w:space="0" w:color="auto"/>
            <w:bottom w:val="none" w:sz="0" w:space="0" w:color="auto"/>
            <w:right w:val="none" w:sz="0" w:space="0" w:color="auto"/>
          </w:divBdr>
        </w:div>
        <w:div w:id="1279022575">
          <w:marLeft w:val="1080"/>
          <w:marRight w:val="0"/>
          <w:marTop w:val="100"/>
          <w:marBottom w:val="0"/>
          <w:divBdr>
            <w:top w:val="none" w:sz="0" w:space="0" w:color="auto"/>
            <w:left w:val="none" w:sz="0" w:space="0" w:color="auto"/>
            <w:bottom w:val="none" w:sz="0" w:space="0" w:color="auto"/>
            <w:right w:val="none" w:sz="0" w:space="0" w:color="auto"/>
          </w:divBdr>
        </w:div>
      </w:divsChild>
    </w:div>
    <w:div w:id="1677804607">
      <w:bodyDiv w:val="1"/>
      <w:marLeft w:val="0"/>
      <w:marRight w:val="0"/>
      <w:marTop w:val="0"/>
      <w:marBottom w:val="0"/>
      <w:divBdr>
        <w:top w:val="none" w:sz="0" w:space="0" w:color="auto"/>
        <w:left w:val="none" w:sz="0" w:space="0" w:color="auto"/>
        <w:bottom w:val="none" w:sz="0" w:space="0" w:color="auto"/>
        <w:right w:val="none" w:sz="0" w:space="0" w:color="auto"/>
      </w:divBdr>
    </w:div>
    <w:div w:id="1740514915">
      <w:bodyDiv w:val="1"/>
      <w:marLeft w:val="0"/>
      <w:marRight w:val="0"/>
      <w:marTop w:val="0"/>
      <w:marBottom w:val="0"/>
      <w:divBdr>
        <w:top w:val="none" w:sz="0" w:space="0" w:color="auto"/>
        <w:left w:val="none" w:sz="0" w:space="0" w:color="auto"/>
        <w:bottom w:val="none" w:sz="0" w:space="0" w:color="auto"/>
        <w:right w:val="none" w:sz="0" w:space="0" w:color="auto"/>
      </w:divBdr>
    </w:div>
    <w:div w:id="1749888248">
      <w:bodyDiv w:val="1"/>
      <w:marLeft w:val="0"/>
      <w:marRight w:val="0"/>
      <w:marTop w:val="0"/>
      <w:marBottom w:val="0"/>
      <w:divBdr>
        <w:top w:val="none" w:sz="0" w:space="0" w:color="auto"/>
        <w:left w:val="none" w:sz="0" w:space="0" w:color="auto"/>
        <w:bottom w:val="none" w:sz="0" w:space="0" w:color="auto"/>
        <w:right w:val="none" w:sz="0" w:space="0" w:color="auto"/>
      </w:divBdr>
    </w:div>
    <w:div w:id="19428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CCE8-5565-4DBB-AD9A-47B38E47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Peter</dc:creator>
  <cp:keywords/>
  <dc:description/>
  <cp:lastModifiedBy>BROWN Lucy</cp:lastModifiedBy>
  <cp:revision>2</cp:revision>
  <dcterms:created xsi:type="dcterms:W3CDTF">2023-08-23T11:02:00Z</dcterms:created>
  <dcterms:modified xsi:type="dcterms:W3CDTF">2023-08-23T11:02:00Z</dcterms:modified>
</cp:coreProperties>
</file>